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rsidRPr="000E1FE3" w14:paraId="2C5EEB98" w14:textId="77777777" w:rsidTr="00A76320">
        <w:tc>
          <w:tcPr>
            <w:tcW w:w="2693" w:type="dxa"/>
          </w:tcPr>
          <w:p w14:paraId="28283CBE" w14:textId="72E0F230" w:rsidR="00C5044C" w:rsidRPr="008D30D1" w:rsidRDefault="00E56D11" w:rsidP="002959D5">
            <w:pPr>
              <w:pStyle w:val="berschrift2"/>
              <w:rPr>
                <w:lang w:val="en-GB"/>
              </w:rPr>
            </w:pPr>
            <w:r w:rsidRPr="008D30D1">
              <w:rPr>
                <w:lang w:val="en-GB"/>
              </w:rPr>
              <w:t>Brief description</w:t>
            </w:r>
          </w:p>
        </w:tc>
        <w:tc>
          <w:tcPr>
            <w:tcW w:w="425" w:type="dxa"/>
          </w:tcPr>
          <w:p w14:paraId="2AAF193F" w14:textId="77777777" w:rsidR="00C5044C" w:rsidRPr="008D30D1" w:rsidRDefault="00C5044C" w:rsidP="00F42B3A">
            <w:pPr>
              <w:shd w:val="clear" w:color="auto" w:fill="auto"/>
              <w:rPr>
                <w:lang w:val="en-GB"/>
              </w:rPr>
            </w:pPr>
          </w:p>
        </w:tc>
        <w:tc>
          <w:tcPr>
            <w:tcW w:w="6521" w:type="dxa"/>
          </w:tcPr>
          <w:p w14:paraId="1A683FA9" w14:textId="6F04A499" w:rsidR="00C5044C" w:rsidRPr="008D30D1" w:rsidRDefault="006F4071" w:rsidP="00F42B3A">
            <w:pPr>
              <w:shd w:val="clear" w:color="auto" w:fill="auto"/>
              <w:rPr>
                <w:lang w:val="en-GB"/>
              </w:rPr>
            </w:pPr>
            <w:r w:rsidRPr="006F4071">
              <w:rPr>
                <w:lang w:val="en-GB"/>
              </w:rPr>
              <w:t>Participants use De Bono's thinking hats to look at a case study from different perspectives and engage in a cultural negotiation process</w:t>
            </w:r>
            <w:r w:rsidR="00C13C53">
              <w:rPr>
                <w:lang w:val="en-GB"/>
              </w:rPr>
              <w:t>.</w:t>
            </w:r>
          </w:p>
        </w:tc>
      </w:tr>
    </w:tbl>
    <w:p w14:paraId="6FBB5EA1" w14:textId="77777777" w:rsidR="00A76320" w:rsidRPr="008D30D1" w:rsidRDefault="00A76320" w:rsidP="00A76320">
      <w:pPr>
        <w:spacing w:line="264" w:lineRule="auto"/>
        <w:rPr>
          <w:sz w:val="2"/>
          <w:szCs w:val="2"/>
          <w:lang w:val="en-GB"/>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rsidRPr="000E1FE3" w14:paraId="35BD5052" w14:textId="77777777" w:rsidTr="00F50D36">
        <w:tc>
          <w:tcPr>
            <w:tcW w:w="2693" w:type="dxa"/>
          </w:tcPr>
          <w:p w14:paraId="5080FEB5" w14:textId="329673C7" w:rsidR="00C5044C" w:rsidRPr="008D30D1" w:rsidRDefault="00E56D11" w:rsidP="002959D5">
            <w:pPr>
              <w:pStyle w:val="berschrift2"/>
              <w:rPr>
                <w:lang w:val="en-GB"/>
              </w:rPr>
            </w:pPr>
            <w:r w:rsidRPr="008D30D1">
              <w:rPr>
                <w:lang w:val="en-GB"/>
              </w:rPr>
              <w:t>Goals</w:t>
            </w:r>
          </w:p>
        </w:tc>
        <w:tc>
          <w:tcPr>
            <w:tcW w:w="425" w:type="dxa"/>
          </w:tcPr>
          <w:p w14:paraId="7FB85372" w14:textId="77777777" w:rsidR="00C5044C" w:rsidRPr="008D30D1" w:rsidRDefault="00C5044C" w:rsidP="00F42B3A">
            <w:pPr>
              <w:shd w:val="clear" w:color="auto" w:fill="auto"/>
              <w:rPr>
                <w:lang w:val="en-GB"/>
              </w:rPr>
            </w:pPr>
          </w:p>
        </w:tc>
        <w:tc>
          <w:tcPr>
            <w:tcW w:w="6521" w:type="dxa"/>
          </w:tcPr>
          <w:p w14:paraId="2329473A" w14:textId="77777777" w:rsidR="006F4071" w:rsidRPr="006F4071" w:rsidRDefault="006F4071" w:rsidP="006F4071">
            <w:pPr>
              <w:pStyle w:val="Listenabsatz"/>
              <w:numPr>
                <w:ilvl w:val="0"/>
                <w:numId w:val="32"/>
              </w:numPr>
              <w:shd w:val="clear" w:color="auto" w:fill="auto"/>
              <w:rPr>
                <w:lang w:val="en-GB"/>
              </w:rPr>
            </w:pPr>
            <w:r w:rsidRPr="006F4071">
              <w:rPr>
                <w:lang w:val="en-GB"/>
              </w:rPr>
              <w:t>Engage with different perspectives</w:t>
            </w:r>
          </w:p>
          <w:p w14:paraId="019E431B" w14:textId="109B59C3" w:rsidR="006F4071" w:rsidRPr="006F4071" w:rsidRDefault="006F4071" w:rsidP="006F4071">
            <w:pPr>
              <w:pStyle w:val="Listenabsatz"/>
              <w:numPr>
                <w:ilvl w:val="0"/>
                <w:numId w:val="32"/>
              </w:numPr>
              <w:shd w:val="clear" w:color="auto" w:fill="auto"/>
              <w:rPr>
                <w:lang w:val="en-GB"/>
              </w:rPr>
            </w:pPr>
            <w:r w:rsidRPr="006F4071">
              <w:rPr>
                <w:lang w:val="en-GB"/>
              </w:rPr>
              <w:t>Applying the negotiation culture approach to a case study</w:t>
            </w:r>
          </w:p>
          <w:p w14:paraId="5D66399E" w14:textId="545B7E69" w:rsidR="00991123" w:rsidRPr="005D15A0" w:rsidRDefault="006F4071" w:rsidP="006F4071">
            <w:pPr>
              <w:pStyle w:val="Listenabsatz"/>
              <w:numPr>
                <w:ilvl w:val="0"/>
                <w:numId w:val="32"/>
              </w:numPr>
              <w:shd w:val="clear" w:color="auto" w:fill="auto"/>
              <w:rPr>
                <w:lang w:val="en-GB"/>
              </w:rPr>
            </w:pPr>
            <w:r w:rsidRPr="006F4071">
              <w:rPr>
                <w:lang w:val="en-GB"/>
              </w:rPr>
              <w:t>Developing constructive solutions to create a common basis of understanding</w:t>
            </w:r>
          </w:p>
        </w:tc>
      </w:tr>
      <w:tr w:rsidR="00C5044C" w:rsidRPr="008D30D1" w14:paraId="0B04F37D" w14:textId="77777777" w:rsidTr="00F50D36">
        <w:tc>
          <w:tcPr>
            <w:tcW w:w="2693" w:type="dxa"/>
          </w:tcPr>
          <w:p w14:paraId="3733B4FD" w14:textId="27A16EFD" w:rsidR="00C5044C" w:rsidRPr="008D30D1" w:rsidRDefault="00E56D11" w:rsidP="002959D5">
            <w:pPr>
              <w:pStyle w:val="berschrift2"/>
              <w:rPr>
                <w:lang w:val="en-GB"/>
              </w:rPr>
            </w:pPr>
            <w:r w:rsidRPr="008D30D1">
              <w:rPr>
                <w:lang w:val="en-GB"/>
              </w:rPr>
              <w:t>Time</w:t>
            </w:r>
          </w:p>
        </w:tc>
        <w:tc>
          <w:tcPr>
            <w:tcW w:w="425" w:type="dxa"/>
          </w:tcPr>
          <w:p w14:paraId="55B32B45" w14:textId="77777777" w:rsidR="00C5044C" w:rsidRPr="008D30D1" w:rsidRDefault="00C5044C" w:rsidP="00F42B3A">
            <w:pPr>
              <w:shd w:val="clear" w:color="auto" w:fill="auto"/>
              <w:rPr>
                <w:lang w:val="en-GB"/>
              </w:rPr>
            </w:pPr>
          </w:p>
        </w:tc>
        <w:tc>
          <w:tcPr>
            <w:tcW w:w="6521" w:type="dxa"/>
          </w:tcPr>
          <w:p w14:paraId="558FDC58" w14:textId="74635553" w:rsidR="00C5044C" w:rsidRPr="008D30D1" w:rsidRDefault="00C13C53" w:rsidP="00F42B3A">
            <w:pPr>
              <w:shd w:val="clear" w:color="auto" w:fill="auto"/>
              <w:rPr>
                <w:lang w:val="en-GB"/>
              </w:rPr>
            </w:pPr>
            <w:r>
              <w:rPr>
                <w:lang w:val="en-GB"/>
              </w:rPr>
              <w:t xml:space="preserve">Approx. </w:t>
            </w:r>
            <w:r w:rsidR="006F4071">
              <w:rPr>
                <w:lang w:val="en-GB"/>
              </w:rPr>
              <w:t>60</w:t>
            </w:r>
            <w:r>
              <w:rPr>
                <w:lang w:val="en-GB"/>
              </w:rPr>
              <w:t>-</w:t>
            </w:r>
            <w:r w:rsidR="006F4071">
              <w:rPr>
                <w:lang w:val="en-GB"/>
              </w:rPr>
              <w:t>9</w:t>
            </w:r>
            <w:r>
              <w:rPr>
                <w:lang w:val="en-GB"/>
              </w:rPr>
              <w:t>0 min.</w:t>
            </w:r>
          </w:p>
        </w:tc>
      </w:tr>
      <w:tr w:rsidR="005D20A6" w:rsidRPr="008D30D1" w14:paraId="2A78B6E1" w14:textId="77777777" w:rsidTr="00F50D36">
        <w:tc>
          <w:tcPr>
            <w:tcW w:w="2693" w:type="dxa"/>
          </w:tcPr>
          <w:p w14:paraId="659CB993" w14:textId="57CA684A" w:rsidR="005D20A6" w:rsidRPr="008D30D1" w:rsidRDefault="005D20A6" w:rsidP="002959D5">
            <w:pPr>
              <w:pStyle w:val="berschrift2"/>
              <w:rPr>
                <w:lang w:val="en-GB"/>
              </w:rPr>
            </w:pPr>
            <w:r w:rsidRPr="008D30D1">
              <w:rPr>
                <w:lang w:val="en-GB"/>
              </w:rPr>
              <w:t>Method</w:t>
            </w:r>
          </w:p>
        </w:tc>
        <w:tc>
          <w:tcPr>
            <w:tcW w:w="425" w:type="dxa"/>
          </w:tcPr>
          <w:p w14:paraId="48882886" w14:textId="77777777" w:rsidR="005D20A6" w:rsidRPr="008D30D1" w:rsidRDefault="005D20A6" w:rsidP="00F42B3A">
            <w:pPr>
              <w:shd w:val="clear" w:color="auto" w:fill="auto"/>
              <w:rPr>
                <w:lang w:val="en-GB"/>
              </w:rPr>
            </w:pPr>
          </w:p>
        </w:tc>
        <w:tc>
          <w:tcPr>
            <w:tcW w:w="6521" w:type="dxa"/>
          </w:tcPr>
          <w:p w14:paraId="26A66FE4" w14:textId="77777777" w:rsidR="005D15A0" w:rsidRPr="005D15A0" w:rsidRDefault="005D15A0" w:rsidP="005D15A0">
            <w:pPr>
              <w:shd w:val="clear" w:color="auto" w:fill="auto"/>
              <w:rPr>
                <w:lang w:val="en-GB"/>
              </w:rPr>
            </w:pPr>
            <w:r w:rsidRPr="005D15A0">
              <w:rPr>
                <w:lang w:val="en-GB"/>
              </w:rPr>
              <w:t>Culturally unspecific;</w:t>
            </w:r>
          </w:p>
          <w:p w14:paraId="2A877AA4" w14:textId="4192E680" w:rsidR="005D20A6" w:rsidRPr="008D30D1" w:rsidRDefault="00C13C53" w:rsidP="005D20A6">
            <w:pPr>
              <w:shd w:val="clear" w:color="auto" w:fill="auto"/>
              <w:rPr>
                <w:lang w:val="en-GB"/>
              </w:rPr>
            </w:pPr>
            <w:r>
              <w:rPr>
                <w:lang w:val="en-GB"/>
              </w:rPr>
              <w:t>interactive</w:t>
            </w:r>
          </w:p>
        </w:tc>
      </w:tr>
      <w:tr w:rsidR="00C5044C" w:rsidRPr="008D30D1" w14:paraId="4B2D2E6F" w14:textId="77777777" w:rsidTr="00F50D36">
        <w:tc>
          <w:tcPr>
            <w:tcW w:w="2693" w:type="dxa"/>
          </w:tcPr>
          <w:p w14:paraId="1E472FE1" w14:textId="48D82B84" w:rsidR="00C5044C" w:rsidRPr="008D30D1" w:rsidRDefault="00744676" w:rsidP="002959D5">
            <w:pPr>
              <w:pStyle w:val="berschrift2"/>
              <w:rPr>
                <w:lang w:val="en-GB"/>
              </w:rPr>
            </w:pPr>
            <w:r w:rsidRPr="008D30D1">
              <w:rPr>
                <w:lang w:val="en-GB"/>
              </w:rPr>
              <w:t>Material</w:t>
            </w:r>
          </w:p>
        </w:tc>
        <w:tc>
          <w:tcPr>
            <w:tcW w:w="425" w:type="dxa"/>
          </w:tcPr>
          <w:p w14:paraId="2C048004" w14:textId="77777777" w:rsidR="00C5044C" w:rsidRPr="008D30D1" w:rsidRDefault="00C5044C" w:rsidP="00F42B3A">
            <w:pPr>
              <w:shd w:val="clear" w:color="auto" w:fill="auto"/>
              <w:rPr>
                <w:lang w:val="en-GB"/>
              </w:rPr>
            </w:pPr>
          </w:p>
        </w:tc>
        <w:tc>
          <w:tcPr>
            <w:tcW w:w="6521" w:type="dxa"/>
          </w:tcPr>
          <w:p w14:paraId="43AFD28C" w14:textId="2CF3F749" w:rsidR="008A29EC" w:rsidRPr="005D15A0" w:rsidRDefault="006F4071" w:rsidP="005D15A0">
            <w:pPr>
              <w:pStyle w:val="Listenabsatz"/>
              <w:numPr>
                <w:ilvl w:val="0"/>
                <w:numId w:val="32"/>
              </w:numPr>
              <w:shd w:val="clear" w:color="auto" w:fill="auto"/>
              <w:rPr>
                <w:lang w:val="en-GB"/>
              </w:rPr>
            </w:pPr>
            <w:r>
              <w:rPr>
                <w:lang w:val="en-GB"/>
              </w:rPr>
              <w:t>Worksheet (hats)</w:t>
            </w:r>
          </w:p>
        </w:tc>
      </w:tr>
      <w:tr w:rsidR="00744676" w:rsidRPr="000E1FE3" w14:paraId="208652F1" w14:textId="77777777" w:rsidTr="00F50D36">
        <w:tc>
          <w:tcPr>
            <w:tcW w:w="2693" w:type="dxa"/>
          </w:tcPr>
          <w:p w14:paraId="4A638A40" w14:textId="3F119E1B" w:rsidR="00744676" w:rsidRPr="008D30D1" w:rsidRDefault="00E56D11" w:rsidP="002959D5">
            <w:pPr>
              <w:pStyle w:val="berschrift2"/>
              <w:rPr>
                <w:b w:val="0"/>
                <w:bCs/>
                <w:lang w:val="en-GB"/>
              </w:rPr>
            </w:pPr>
            <w:r w:rsidRPr="008D30D1">
              <w:rPr>
                <w:lang w:val="en-GB"/>
              </w:rPr>
              <w:t>Implementation</w:t>
            </w:r>
          </w:p>
        </w:tc>
        <w:tc>
          <w:tcPr>
            <w:tcW w:w="425" w:type="dxa"/>
          </w:tcPr>
          <w:p w14:paraId="67BB8560" w14:textId="77777777" w:rsidR="00744676" w:rsidRPr="008D30D1" w:rsidRDefault="00744676" w:rsidP="00F42B3A">
            <w:pPr>
              <w:shd w:val="clear" w:color="auto" w:fill="auto"/>
              <w:rPr>
                <w:lang w:val="en-GB"/>
              </w:rPr>
            </w:pPr>
          </w:p>
        </w:tc>
        <w:tc>
          <w:tcPr>
            <w:tcW w:w="6521" w:type="dxa"/>
          </w:tcPr>
          <w:p w14:paraId="7D2DA5CB" w14:textId="77777777" w:rsidR="006F4071" w:rsidRPr="006F4071" w:rsidRDefault="006F4071" w:rsidP="006F4071">
            <w:pPr>
              <w:shd w:val="clear" w:color="auto" w:fill="auto"/>
              <w:rPr>
                <w:lang w:val="en-US"/>
              </w:rPr>
            </w:pPr>
            <w:r w:rsidRPr="006F4071">
              <w:rPr>
                <w:lang w:val="en-US"/>
              </w:rPr>
              <w:t>The participants are divided into six groups and each is assigned a hat. Each hat represents a different way of thinking. The case is then prepared and presented from this perspective.</w:t>
            </w:r>
          </w:p>
          <w:p w14:paraId="5B3E693C" w14:textId="77777777" w:rsidR="006F4071" w:rsidRPr="006F4071" w:rsidRDefault="006F4071" w:rsidP="006F4071">
            <w:pPr>
              <w:shd w:val="clear" w:color="auto" w:fill="auto"/>
              <w:rPr>
                <w:lang w:val="en-US"/>
              </w:rPr>
            </w:pPr>
            <w:r w:rsidRPr="006F4071">
              <w:rPr>
                <w:lang w:val="en-US"/>
              </w:rPr>
              <w:t>The groups then discuss the following guiding question and consider a negotiation strategy:</w:t>
            </w:r>
          </w:p>
          <w:p w14:paraId="045812D2" w14:textId="72E685BB" w:rsidR="006F4071" w:rsidRPr="006F4071" w:rsidRDefault="006F4071" w:rsidP="006F4071">
            <w:pPr>
              <w:pStyle w:val="Listenabsatz"/>
              <w:numPr>
                <w:ilvl w:val="0"/>
                <w:numId w:val="32"/>
              </w:numPr>
              <w:shd w:val="clear" w:color="auto" w:fill="auto"/>
              <w:rPr>
                <w:lang w:val="en-US"/>
              </w:rPr>
            </w:pPr>
            <w:r w:rsidRPr="006F4071">
              <w:rPr>
                <w:lang w:val="en-US"/>
              </w:rPr>
              <w:t>Based on the information and perspectives gathered in this way, where do you see potential for negotiating cultures or, in other words, creating common ground?</w:t>
            </w:r>
          </w:p>
          <w:p w14:paraId="41D6A49B" w14:textId="77777777" w:rsidR="006F4071" w:rsidRPr="006F4071" w:rsidRDefault="006F4071" w:rsidP="006F4071">
            <w:pPr>
              <w:shd w:val="clear" w:color="auto" w:fill="auto"/>
              <w:rPr>
                <w:lang w:val="en-US"/>
              </w:rPr>
            </w:pPr>
          </w:p>
          <w:p w14:paraId="6275AF7D" w14:textId="77777777" w:rsidR="006F4071" w:rsidRPr="006F4071" w:rsidRDefault="006F4071" w:rsidP="006F4071">
            <w:pPr>
              <w:shd w:val="clear" w:color="auto" w:fill="auto"/>
              <w:rPr>
                <w:lang w:val="en-US"/>
              </w:rPr>
            </w:pPr>
            <w:r w:rsidRPr="006F4071">
              <w:rPr>
                <w:lang w:val="en-US"/>
              </w:rPr>
              <w:t xml:space="preserve">As a continuation of the activity, one representative per group can be chosen to simulate a negotiation of the six perspectives. </w:t>
            </w:r>
          </w:p>
          <w:p w14:paraId="57DA3ECD" w14:textId="77777777" w:rsidR="006F4071" w:rsidRPr="006F4071" w:rsidRDefault="006F4071" w:rsidP="006F4071">
            <w:pPr>
              <w:shd w:val="clear" w:color="auto" w:fill="auto"/>
              <w:rPr>
                <w:lang w:val="en-US"/>
              </w:rPr>
            </w:pPr>
            <w:r w:rsidRPr="006F4071">
              <w:rPr>
                <w:lang w:val="en-US"/>
              </w:rPr>
              <w:t>The evaluation takes place in plenary with the involvement of the observing participants:</w:t>
            </w:r>
          </w:p>
          <w:p w14:paraId="6AA829FE" w14:textId="3123D603" w:rsidR="006F4071" w:rsidRPr="006F4071" w:rsidRDefault="006F4071" w:rsidP="006F4071">
            <w:pPr>
              <w:pStyle w:val="Listenabsatz"/>
              <w:numPr>
                <w:ilvl w:val="0"/>
                <w:numId w:val="32"/>
              </w:numPr>
              <w:shd w:val="clear" w:color="auto" w:fill="auto"/>
              <w:rPr>
                <w:lang w:val="en-US"/>
              </w:rPr>
            </w:pPr>
            <w:r w:rsidRPr="006F4071">
              <w:rPr>
                <w:lang w:val="en-US"/>
              </w:rPr>
              <w:t>What moves or concerns you now?</w:t>
            </w:r>
          </w:p>
          <w:p w14:paraId="505FE836" w14:textId="1CBBBAA5" w:rsidR="006F4071" w:rsidRPr="006F4071" w:rsidRDefault="006F4071" w:rsidP="006F4071">
            <w:pPr>
              <w:pStyle w:val="Listenabsatz"/>
              <w:numPr>
                <w:ilvl w:val="0"/>
                <w:numId w:val="32"/>
              </w:numPr>
              <w:shd w:val="clear" w:color="auto" w:fill="auto"/>
              <w:rPr>
                <w:lang w:val="en-US"/>
              </w:rPr>
            </w:pPr>
            <w:r w:rsidRPr="006F4071">
              <w:rPr>
                <w:lang w:val="en-US"/>
              </w:rPr>
              <w:t>What particularly struck you?</w:t>
            </w:r>
          </w:p>
          <w:p w14:paraId="1FF8A2B2" w14:textId="741BD7B8" w:rsidR="00226FEB" w:rsidRPr="006F4071" w:rsidRDefault="006F4071" w:rsidP="006F4071">
            <w:pPr>
              <w:pStyle w:val="Listenabsatz"/>
              <w:numPr>
                <w:ilvl w:val="0"/>
                <w:numId w:val="32"/>
              </w:numPr>
              <w:shd w:val="clear" w:color="auto" w:fill="auto"/>
              <w:rPr>
                <w:lang w:val="en-US"/>
              </w:rPr>
            </w:pPr>
            <w:r w:rsidRPr="006F4071">
              <w:rPr>
                <w:lang w:val="en-US"/>
              </w:rPr>
              <w:t>How can you use this experience practically for your daily cooperation?</w:t>
            </w:r>
          </w:p>
        </w:tc>
      </w:tr>
      <w:tr w:rsidR="002A4D87" w:rsidRPr="008D30D1" w14:paraId="4D181EA6" w14:textId="77777777" w:rsidTr="00F50D36">
        <w:tc>
          <w:tcPr>
            <w:tcW w:w="2693" w:type="dxa"/>
          </w:tcPr>
          <w:p w14:paraId="753586A6" w14:textId="4699449D" w:rsidR="002A4D87" w:rsidRPr="008D30D1" w:rsidRDefault="00E56D11" w:rsidP="00A949EF">
            <w:pPr>
              <w:pStyle w:val="berschrift2"/>
              <w:rPr>
                <w:b w:val="0"/>
                <w:bCs/>
                <w:lang w:val="en-GB"/>
              </w:rPr>
            </w:pPr>
            <w:r w:rsidRPr="008D30D1">
              <w:rPr>
                <w:lang w:val="en-GB"/>
              </w:rPr>
              <w:t>Notes</w:t>
            </w:r>
          </w:p>
        </w:tc>
        <w:tc>
          <w:tcPr>
            <w:tcW w:w="425" w:type="dxa"/>
          </w:tcPr>
          <w:p w14:paraId="217B7E2D" w14:textId="77777777" w:rsidR="002A4D87" w:rsidRPr="008D30D1" w:rsidRDefault="002A4D87" w:rsidP="00F42B3A">
            <w:pPr>
              <w:shd w:val="clear" w:color="auto" w:fill="auto"/>
              <w:rPr>
                <w:lang w:val="en-GB"/>
              </w:rPr>
            </w:pPr>
          </w:p>
        </w:tc>
        <w:tc>
          <w:tcPr>
            <w:tcW w:w="6521" w:type="dxa"/>
          </w:tcPr>
          <w:p w14:paraId="19A43F2B" w14:textId="39A47EF2" w:rsidR="002A4D87" w:rsidRPr="008D30D1" w:rsidRDefault="0072430E" w:rsidP="00F42B3A">
            <w:pPr>
              <w:shd w:val="clear" w:color="auto" w:fill="auto"/>
              <w:rPr>
                <w:lang w:val="en-GB"/>
              </w:rPr>
            </w:pPr>
            <w:r>
              <w:rPr>
                <w:lang w:val="en-GB"/>
              </w:rPr>
              <w:t>n/a</w:t>
            </w:r>
          </w:p>
        </w:tc>
      </w:tr>
      <w:tr w:rsidR="005D15A0" w:rsidRPr="008D30D1" w14:paraId="5B780941" w14:textId="77777777" w:rsidTr="00F50D36">
        <w:tc>
          <w:tcPr>
            <w:tcW w:w="2693" w:type="dxa"/>
          </w:tcPr>
          <w:p w14:paraId="6A4E9BC4" w14:textId="77777777" w:rsidR="005D15A0" w:rsidRPr="008D30D1" w:rsidRDefault="005D15A0" w:rsidP="005D15A0">
            <w:pPr>
              <w:pStyle w:val="berschrift2"/>
              <w:rPr>
                <w:b w:val="0"/>
                <w:bCs/>
                <w:lang w:val="en-GB"/>
              </w:rPr>
            </w:pPr>
            <w:r w:rsidRPr="008D30D1">
              <w:rPr>
                <w:lang w:val="en-GB"/>
              </w:rPr>
              <w:t>Source</w:t>
            </w:r>
          </w:p>
        </w:tc>
        <w:tc>
          <w:tcPr>
            <w:tcW w:w="425" w:type="dxa"/>
          </w:tcPr>
          <w:p w14:paraId="64BA9959" w14:textId="77777777" w:rsidR="005D15A0" w:rsidRPr="008D30D1" w:rsidRDefault="005D15A0" w:rsidP="005D15A0">
            <w:pPr>
              <w:shd w:val="clear" w:color="auto" w:fill="auto"/>
              <w:rPr>
                <w:lang w:val="en-GB"/>
              </w:rPr>
            </w:pPr>
          </w:p>
        </w:tc>
        <w:tc>
          <w:tcPr>
            <w:tcW w:w="6521" w:type="dxa"/>
          </w:tcPr>
          <w:p w14:paraId="6599E1CB" w14:textId="54C074EB" w:rsidR="005D15A0" w:rsidRPr="008D30D1" w:rsidRDefault="005D15A0" w:rsidP="005D15A0">
            <w:pPr>
              <w:shd w:val="clear" w:color="auto" w:fill="auto"/>
              <w:rPr>
                <w:lang w:val="en-GB"/>
              </w:rPr>
            </w:pPr>
            <w:r>
              <w:t>Annika Schmidt/Andrea Voigt</w:t>
            </w:r>
          </w:p>
        </w:tc>
      </w:tr>
    </w:tbl>
    <w:p w14:paraId="0DB2B914" w14:textId="5C086AFC" w:rsidR="00E54DEF" w:rsidRPr="008D30D1" w:rsidRDefault="00E54DEF">
      <w:pPr>
        <w:rPr>
          <w:lang w:val="en-GB"/>
        </w:rPr>
      </w:pPr>
    </w:p>
    <w:p w14:paraId="49FD3A5C" w14:textId="77777777" w:rsidR="000B58EE" w:rsidRPr="008D30D1" w:rsidRDefault="000B58EE">
      <w:pPr>
        <w:rPr>
          <w:lang w:val="en-GB"/>
        </w:rPr>
      </w:pPr>
    </w:p>
    <w:p w14:paraId="22636018" w14:textId="77777777" w:rsidR="000B58EE" w:rsidRPr="008D30D1" w:rsidRDefault="000B58EE">
      <w:pPr>
        <w:shd w:val="clear" w:color="auto" w:fill="auto"/>
        <w:spacing w:after="160" w:line="259" w:lineRule="auto"/>
        <w:rPr>
          <w:lang w:val="en-GB"/>
        </w:rPr>
        <w:sectPr w:rsidR="000B58EE" w:rsidRPr="008D30D1" w:rsidSect="00EC25B0">
          <w:headerReference w:type="even" r:id="rId7"/>
          <w:headerReference w:type="default" r:id="rId8"/>
          <w:footerReference w:type="even" r:id="rId9"/>
          <w:footerReference w:type="default" r:id="rId10"/>
          <w:pgSz w:w="11906" w:h="16838" w:code="9"/>
          <w:pgMar w:top="1985" w:right="851" w:bottom="851" w:left="1418" w:header="1134" w:footer="397" w:gutter="0"/>
          <w:pgNumType w:start="1"/>
          <w:cols w:space="708"/>
          <w:docGrid w:linePitch="360"/>
        </w:sectPr>
      </w:pPr>
    </w:p>
    <w:p w14:paraId="640EE7DA" w14:textId="342FCCDF" w:rsidR="00863ACE" w:rsidRPr="008D30D1" w:rsidRDefault="00E56D11" w:rsidP="00863ACE">
      <w:pPr>
        <w:pStyle w:val="berschrift2"/>
        <w:spacing w:after="180"/>
        <w:rPr>
          <w:lang w:val="en-GB"/>
        </w:rPr>
      </w:pPr>
      <w:r w:rsidRPr="008D30D1">
        <w:rPr>
          <w:lang w:val="en-GB"/>
        </w:rPr>
        <w:lastRenderedPageBreak/>
        <w:t>Task</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0E1FE3" w14:paraId="27FF2C11" w14:textId="77777777" w:rsidTr="00EC7A8C">
        <w:tc>
          <w:tcPr>
            <w:tcW w:w="9639" w:type="dxa"/>
          </w:tcPr>
          <w:p w14:paraId="27589E04" w14:textId="67EB9078" w:rsidR="00863ACE" w:rsidRPr="008D30D1" w:rsidRDefault="006F4071" w:rsidP="00A949EF">
            <w:pPr>
              <w:pStyle w:val="berschrift5"/>
              <w:rPr>
                <w:lang w:val="en-GB"/>
              </w:rPr>
            </w:pPr>
            <w:r>
              <w:rPr>
                <w:lang w:val="en-GB"/>
              </w:rPr>
              <w:t>De Bonos thinking hats</w:t>
            </w:r>
          </w:p>
          <w:p w14:paraId="01723640" w14:textId="77777777" w:rsidR="005D15A0" w:rsidRDefault="005D15A0" w:rsidP="005D15A0">
            <w:pPr>
              <w:shd w:val="clear" w:color="auto" w:fill="auto"/>
              <w:rPr>
                <w:lang w:val="en-GB"/>
              </w:rPr>
            </w:pPr>
          </w:p>
          <w:p w14:paraId="2FE08989" w14:textId="77777777" w:rsidR="006F4071" w:rsidRPr="006F4071" w:rsidRDefault="006F4071" w:rsidP="006F4071">
            <w:pPr>
              <w:shd w:val="clear" w:color="auto" w:fill="auto"/>
              <w:rPr>
                <w:lang w:val="en-GB"/>
              </w:rPr>
            </w:pPr>
            <w:r w:rsidRPr="006F4071">
              <w:rPr>
                <w:lang w:val="en-GB"/>
              </w:rPr>
              <w:t xml:space="preserve">Consider Tom's team of 20 employees. As they work virtually and from different continents, he considers it very important to build an appropriate team culture for this global team. To achieve this, Tom plans a monthly team meeting. On the last Friday of every month, he asks the team to come together virtually to reflect on how the collaboration has been and what could be improved to really take advantage of the diversity of the team. In one such meeting, the following comment is brought up by a team member: </w:t>
            </w:r>
          </w:p>
          <w:p w14:paraId="227F84FD" w14:textId="7AD3A61B" w:rsidR="00C13C53" w:rsidRDefault="006F4071" w:rsidP="006F4071">
            <w:pPr>
              <w:shd w:val="clear" w:color="auto" w:fill="auto"/>
              <w:rPr>
                <w:lang w:val="en-GB"/>
              </w:rPr>
            </w:pPr>
            <w:r w:rsidRPr="006F4071">
              <w:rPr>
                <w:lang w:val="en-GB"/>
              </w:rPr>
              <w:t>"I consider myself a very tolerant and open-minded team member, but there are situations that I cannot accept. For example, when people in the head office are just so inflexible! Just recently a very important machine broke down, but instead of just buying a spare part here to fix it, the engineers at head office of course insisted that it has to be shipped from the supplier at head office. That takes three times as long and costs four times as much money. This is just one example. There are these kinds of decisions all the time that set us back."</w:t>
            </w:r>
          </w:p>
          <w:p w14:paraId="24984149" w14:textId="77777777" w:rsidR="006F4071" w:rsidRPr="00C13C53" w:rsidRDefault="006F4071" w:rsidP="006F4071">
            <w:pPr>
              <w:shd w:val="clear" w:color="auto" w:fill="auto"/>
              <w:rPr>
                <w:lang w:val="en-GB"/>
              </w:rPr>
            </w:pPr>
          </w:p>
          <w:p w14:paraId="3CD4EFFB" w14:textId="77777777" w:rsidR="006F4071" w:rsidRPr="006F4071" w:rsidRDefault="006F4071" w:rsidP="006F4071">
            <w:pPr>
              <w:shd w:val="clear" w:color="auto" w:fill="auto"/>
              <w:rPr>
                <w:lang w:val="en-GB"/>
              </w:rPr>
            </w:pPr>
            <w:r w:rsidRPr="006F4071">
              <w:rPr>
                <w:lang w:val="en-GB"/>
              </w:rPr>
              <w:t>In your groups, develop a detailed perspective on the case study based on your way of thinking (hat).</w:t>
            </w:r>
          </w:p>
          <w:p w14:paraId="50073D36" w14:textId="77777777" w:rsidR="006F4071" w:rsidRPr="006F4071" w:rsidRDefault="006F4071" w:rsidP="006F4071">
            <w:pPr>
              <w:shd w:val="clear" w:color="auto" w:fill="auto"/>
              <w:rPr>
                <w:lang w:val="en-GB"/>
              </w:rPr>
            </w:pPr>
          </w:p>
          <w:p w14:paraId="40C40FF7" w14:textId="77777777" w:rsidR="006F4071" w:rsidRPr="006F4071" w:rsidRDefault="006F4071" w:rsidP="006F4071">
            <w:pPr>
              <w:shd w:val="clear" w:color="auto" w:fill="auto"/>
              <w:rPr>
                <w:lang w:val="en-GB"/>
              </w:rPr>
            </w:pPr>
            <w:r w:rsidRPr="006F4071">
              <w:rPr>
                <w:lang w:val="en-GB"/>
              </w:rPr>
              <w:t xml:space="preserve">Meaning of the hats:     </w:t>
            </w:r>
          </w:p>
          <w:p w14:paraId="3CA55E48" w14:textId="77777777" w:rsidR="006F4071" w:rsidRPr="006F4071" w:rsidRDefault="006F4071" w:rsidP="006F4071">
            <w:pPr>
              <w:shd w:val="clear" w:color="auto" w:fill="auto"/>
              <w:rPr>
                <w:lang w:val="en-GB"/>
              </w:rPr>
            </w:pPr>
          </w:p>
          <w:p w14:paraId="2F1ECB0C" w14:textId="66A0D464" w:rsidR="006F4071" w:rsidRPr="006F4071" w:rsidRDefault="006F4071" w:rsidP="006F4071">
            <w:pPr>
              <w:pStyle w:val="Listenabsatz"/>
              <w:numPr>
                <w:ilvl w:val="0"/>
                <w:numId w:val="40"/>
              </w:numPr>
              <w:shd w:val="clear" w:color="auto" w:fill="auto"/>
              <w:rPr>
                <w:lang w:val="en-US"/>
              </w:rPr>
            </w:pPr>
            <w:r w:rsidRPr="006F4071">
              <w:rPr>
                <w:b/>
                <w:lang w:val="en-US"/>
              </w:rPr>
              <w:t>white hat</w:t>
            </w:r>
            <w:r w:rsidRPr="006F4071">
              <w:rPr>
                <w:lang w:val="en-US"/>
              </w:rPr>
              <w:t>: analytical thinking. Numbers, data, facts</w:t>
            </w:r>
          </w:p>
          <w:p w14:paraId="4B604B7F" w14:textId="11A9DD66" w:rsidR="006F4071" w:rsidRPr="006F4071" w:rsidRDefault="006F4071" w:rsidP="006F4071">
            <w:pPr>
              <w:pStyle w:val="Listenabsatz"/>
              <w:numPr>
                <w:ilvl w:val="0"/>
                <w:numId w:val="40"/>
              </w:numPr>
              <w:shd w:val="clear" w:color="auto" w:fill="auto"/>
              <w:rPr>
                <w:lang w:val="en-US"/>
              </w:rPr>
            </w:pPr>
            <w:r w:rsidRPr="006F4071">
              <w:rPr>
                <w:b/>
                <w:lang w:val="en-US"/>
              </w:rPr>
              <w:t>black hat</w:t>
            </w:r>
            <w:r w:rsidRPr="006F4071">
              <w:rPr>
                <w:lang w:val="en-US"/>
              </w:rPr>
              <w:t>: critical thinking. Risks, challenges, objections, logical-negative.</w:t>
            </w:r>
          </w:p>
          <w:p w14:paraId="483D338F" w14:textId="19763C5D" w:rsidR="006F4071" w:rsidRPr="006F4071" w:rsidRDefault="006F4071" w:rsidP="006F4071">
            <w:pPr>
              <w:pStyle w:val="Listenabsatz"/>
              <w:numPr>
                <w:ilvl w:val="0"/>
                <w:numId w:val="40"/>
              </w:numPr>
              <w:shd w:val="clear" w:color="auto" w:fill="auto"/>
              <w:rPr>
                <w:lang w:val="en-US"/>
              </w:rPr>
            </w:pPr>
            <w:r w:rsidRPr="006F4071">
              <w:rPr>
                <w:b/>
                <w:lang w:val="en-US"/>
              </w:rPr>
              <w:t>yellow hat</w:t>
            </w:r>
            <w:r w:rsidRPr="006F4071">
              <w:rPr>
                <w:lang w:val="en-US"/>
              </w:rPr>
              <w:t>: optimistic thinking. Opportunities, possibilities, optimism, logical-positive.</w:t>
            </w:r>
          </w:p>
          <w:p w14:paraId="6EEFC86B" w14:textId="2EB2B0F3" w:rsidR="006F4071" w:rsidRPr="006F4071" w:rsidRDefault="006F4071" w:rsidP="006F4071">
            <w:pPr>
              <w:pStyle w:val="Listenabsatz"/>
              <w:numPr>
                <w:ilvl w:val="0"/>
                <w:numId w:val="40"/>
              </w:numPr>
              <w:shd w:val="clear" w:color="auto" w:fill="auto"/>
              <w:rPr>
                <w:lang w:val="en-US"/>
              </w:rPr>
            </w:pPr>
            <w:r w:rsidRPr="006F4071">
              <w:rPr>
                <w:b/>
                <w:lang w:val="en-US"/>
              </w:rPr>
              <w:t>green hat</w:t>
            </w:r>
            <w:r w:rsidRPr="006F4071">
              <w:rPr>
                <w:lang w:val="en-US"/>
              </w:rPr>
              <w:t>: creative, associative thinking. Innovation, ideas, originality</w:t>
            </w:r>
          </w:p>
          <w:p w14:paraId="7FE8980B" w14:textId="030D829B" w:rsidR="006F4071" w:rsidRPr="006F4071" w:rsidRDefault="006F4071" w:rsidP="006F4071">
            <w:pPr>
              <w:pStyle w:val="Listenabsatz"/>
              <w:numPr>
                <w:ilvl w:val="0"/>
                <w:numId w:val="40"/>
              </w:numPr>
              <w:shd w:val="clear" w:color="auto" w:fill="auto"/>
              <w:rPr>
                <w:lang w:val="en-US"/>
              </w:rPr>
            </w:pPr>
            <w:r w:rsidRPr="006F4071">
              <w:rPr>
                <w:b/>
                <w:lang w:val="en-US"/>
              </w:rPr>
              <w:t>red hat</w:t>
            </w:r>
            <w:r w:rsidRPr="006F4071">
              <w:rPr>
                <w:lang w:val="en-US"/>
              </w:rPr>
              <w:t>: emotional thinking. Emotions, feelings, needs</w:t>
            </w:r>
          </w:p>
          <w:p w14:paraId="17712F03" w14:textId="0F73BD95" w:rsidR="006F4071" w:rsidRPr="006F4071" w:rsidRDefault="006F4071" w:rsidP="006F4071">
            <w:pPr>
              <w:pStyle w:val="Listenabsatz"/>
              <w:numPr>
                <w:ilvl w:val="0"/>
                <w:numId w:val="40"/>
              </w:numPr>
              <w:shd w:val="clear" w:color="auto" w:fill="auto"/>
              <w:rPr>
                <w:lang w:val="en-US"/>
              </w:rPr>
            </w:pPr>
            <w:r w:rsidRPr="006F4071">
              <w:rPr>
                <w:b/>
                <w:lang w:val="en-US"/>
              </w:rPr>
              <w:t>blue hat</w:t>
            </w:r>
            <w:r w:rsidRPr="006F4071">
              <w:rPr>
                <w:lang w:val="en-US"/>
              </w:rPr>
              <w:t>: orderly thinking. Moderation, summary, control, structure</w:t>
            </w:r>
          </w:p>
          <w:p w14:paraId="61E84DD7" w14:textId="07C62D8B" w:rsidR="002B57B4" w:rsidRPr="00C13C53" w:rsidRDefault="00E56D11" w:rsidP="006F4071">
            <w:pPr>
              <w:shd w:val="clear" w:color="auto" w:fill="auto"/>
              <w:spacing w:before="240"/>
              <w:ind w:left="882" w:hanging="882"/>
              <w:rPr>
                <w:sz w:val="20"/>
                <w:lang w:val="en-US"/>
              </w:rPr>
            </w:pPr>
            <w:r w:rsidRPr="005D6F2B">
              <w:rPr>
                <w:sz w:val="20"/>
                <w:lang w:val="en-US"/>
              </w:rPr>
              <w:t>Source</w:t>
            </w:r>
            <w:r w:rsidR="002B57B4" w:rsidRPr="005D6F2B">
              <w:rPr>
                <w:sz w:val="20"/>
                <w:lang w:val="en-US"/>
              </w:rPr>
              <w:t>:</w:t>
            </w:r>
            <w:r w:rsidR="00D94F5F" w:rsidRPr="005D6F2B">
              <w:rPr>
                <w:sz w:val="20"/>
                <w:lang w:val="en-US"/>
              </w:rPr>
              <w:tab/>
            </w:r>
            <w:r w:rsidR="006F4071" w:rsidRPr="00945AA7">
              <w:rPr>
                <w:sz w:val="20"/>
                <w:lang w:val="en-US"/>
              </w:rPr>
              <w:t>Council of Europe 2023: https://www.coe.int/en/web/autobiography-intercultural-encounters/activity20#</w:t>
            </w:r>
          </w:p>
        </w:tc>
      </w:tr>
    </w:tbl>
    <w:p w14:paraId="76B13DFD" w14:textId="432B45DD" w:rsidR="00E901B9" w:rsidRDefault="00E901B9">
      <w:pPr>
        <w:rPr>
          <w:lang w:val="en-US"/>
        </w:rPr>
      </w:pPr>
    </w:p>
    <w:p w14:paraId="47165664" w14:textId="77777777" w:rsidR="00451C61" w:rsidRDefault="00451C61">
      <w:pPr>
        <w:rPr>
          <w:lang w:val="en-US"/>
        </w:rPr>
      </w:pPr>
    </w:p>
    <w:sectPr w:rsidR="00451C61" w:rsidSect="008F445A">
      <w:headerReference w:type="default" r:id="rId11"/>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A4BC1" w14:textId="77777777" w:rsidR="006C59C1" w:rsidRDefault="006C59C1" w:rsidP="004D6D8C">
      <w:pPr>
        <w:spacing w:line="240" w:lineRule="auto"/>
      </w:pPr>
      <w:r>
        <w:separator/>
      </w:r>
    </w:p>
  </w:endnote>
  <w:endnote w:type="continuationSeparator" w:id="0">
    <w:p w14:paraId="7DE70B30" w14:textId="77777777" w:rsidR="006C59C1" w:rsidRDefault="006C59C1"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EF7C2" w14:textId="77777777" w:rsidR="000E1FE3" w:rsidRPr="005D15A0" w:rsidRDefault="000E1FE3" w:rsidP="000E1FE3">
    <w:pPr>
      <w:pStyle w:val="Fuzeile"/>
      <w:framePr w:wrap="around" w:vAnchor="page" w:hAnchor="margin" w:xAlign="right" w:y="16217"/>
      <w:rPr>
        <w:rStyle w:val="Seitenzahl"/>
        <w:b/>
        <w:bCs/>
        <w:color w:val="00BFF4"/>
        <w:sz w:val="18"/>
        <w:szCs w:val="18"/>
        <w:lang w:val="en-US"/>
      </w:rPr>
    </w:pPr>
    <w:r w:rsidRPr="0077317A">
      <w:rPr>
        <w:rStyle w:val="Seitenzahl"/>
        <w:b/>
        <w:bCs/>
        <w:color w:val="00BFF4"/>
        <w:sz w:val="18"/>
        <w:szCs w:val="18"/>
      </w:rPr>
      <w:fldChar w:fldCharType="begin"/>
    </w:r>
    <w:r w:rsidRPr="00661E71">
      <w:rPr>
        <w:rStyle w:val="Seitenzahl"/>
        <w:b/>
        <w:bCs/>
        <w:color w:val="00BFF4"/>
        <w:sz w:val="18"/>
        <w:szCs w:val="18"/>
        <w:lang w:val="en-US"/>
      </w:rPr>
      <w:instrText xml:space="preserve"> PAGE </w:instrText>
    </w:r>
    <w:r w:rsidRPr="0077317A">
      <w:rPr>
        <w:rStyle w:val="Seitenzahl"/>
        <w:b/>
        <w:bCs/>
        <w:color w:val="00BFF4"/>
        <w:sz w:val="18"/>
        <w:szCs w:val="18"/>
      </w:rPr>
      <w:fldChar w:fldCharType="separate"/>
    </w:r>
    <w:r w:rsidRPr="000E1FE3">
      <w:rPr>
        <w:rStyle w:val="Seitenzahl"/>
        <w:b/>
        <w:bCs/>
        <w:color w:val="00BFF4"/>
        <w:sz w:val="18"/>
        <w:szCs w:val="18"/>
        <w:lang w:val="en-GB"/>
      </w:rPr>
      <w:t>1</w:t>
    </w:r>
    <w:r w:rsidRPr="0077317A">
      <w:rPr>
        <w:rStyle w:val="Seitenzahl"/>
        <w:b/>
        <w:bCs/>
        <w:color w:val="00BFF4"/>
        <w:sz w:val="18"/>
        <w:szCs w:val="18"/>
      </w:rPr>
      <w:fldChar w:fldCharType="end"/>
    </w:r>
  </w:p>
  <w:p w14:paraId="0143A1C6" w14:textId="77777777" w:rsidR="000E1FE3" w:rsidRPr="005D15A0" w:rsidRDefault="000E1FE3" w:rsidP="000E1FE3">
    <w:pPr>
      <w:pStyle w:val="Fuzeile"/>
      <w:ind w:right="360"/>
      <w:rPr>
        <w:color w:val="3364B3"/>
        <w:sz w:val="18"/>
        <w:szCs w:val="18"/>
        <w:lang w:val="en-US"/>
      </w:rPr>
    </w:pPr>
    <w:r w:rsidRPr="00781DE7">
      <w:rPr>
        <w:noProof/>
        <w:color w:val="3364B3"/>
        <w:sz w:val="18"/>
        <w:szCs w:val="18"/>
      </w:rPr>
      <w:drawing>
        <wp:anchor distT="0" distB="0" distL="114300" distR="114300" simplePos="0" relativeHeight="251657216" behindDoc="0" locked="0" layoutInCell="1" allowOverlap="1" wp14:anchorId="1AA1E9AC" wp14:editId="2676555F">
          <wp:simplePos x="0" y="0"/>
          <wp:positionH relativeFrom="column">
            <wp:posOffset>-781538</wp:posOffset>
          </wp:positionH>
          <wp:positionV relativeFrom="paragraph">
            <wp:posOffset>-63158</wp:posOffset>
          </wp:positionV>
          <wp:extent cx="500986" cy="390769"/>
          <wp:effectExtent l="0" t="0" r="0" b="0"/>
          <wp:wrapNone/>
          <wp:docPr id="14" name="Grafik 14" descr="Ein Bild, das Grafiken, 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Grafiken, 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proofErr w:type="spellStart"/>
    <w:proofErr w:type="gramStart"/>
    <w:r w:rsidRPr="00964216">
      <w:rPr>
        <w:color w:val="3364B3"/>
        <w:sz w:val="18"/>
        <w:szCs w:val="18"/>
        <w:lang w:val="en-US"/>
      </w:rPr>
      <w:t>InCom</w:t>
    </w:r>
    <w:proofErr w:type="spellEnd"/>
    <w:r w:rsidRPr="00964216">
      <w:rPr>
        <w:color w:val="3364B3"/>
        <w:sz w:val="18"/>
        <w:szCs w:val="18"/>
        <w:lang w:val="en-US"/>
      </w:rPr>
      <w:t xml:space="preserve">  </w:t>
    </w:r>
    <w:r>
      <w:rPr>
        <w:color w:val="3364B3"/>
        <w:sz w:val="18"/>
        <w:szCs w:val="18"/>
        <w:lang w:val="en-US"/>
      </w:rPr>
      <w:t>–</w:t>
    </w:r>
    <w:proofErr w:type="gramEnd"/>
    <w:r w:rsidRPr="00964216">
      <w:rPr>
        <w:color w:val="3364B3"/>
        <w:sz w:val="18"/>
        <w:szCs w:val="18"/>
        <w:lang w:val="en-US"/>
      </w:rPr>
      <w:t xml:space="preserve">  </w:t>
    </w:r>
    <w:r>
      <w:rPr>
        <w:color w:val="3364B3"/>
        <w:sz w:val="18"/>
        <w:szCs w:val="18"/>
        <w:lang w:val="en-US"/>
      </w:rPr>
      <w:t>8</w:t>
    </w:r>
    <w:r w:rsidRPr="00942C1E">
      <w:rPr>
        <w:color w:val="3364B3"/>
        <w:sz w:val="18"/>
        <w:szCs w:val="18"/>
        <w:lang w:val="en-US"/>
      </w:rPr>
      <w:t xml:space="preserve">. </w:t>
    </w:r>
    <w:r w:rsidRPr="00FC794F">
      <w:rPr>
        <w:color w:val="3364B3"/>
        <w:sz w:val="18"/>
        <w:szCs w:val="18"/>
        <w:lang w:val="en-US"/>
      </w:rPr>
      <w:t>Creating a common ground of understanding and a space for interaction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A1F28" w14:textId="77777777" w:rsidR="006C59C1" w:rsidRDefault="006C59C1" w:rsidP="004D6D8C">
      <w:pPr>
        <w:spacing w:line="240" w:lineRule="auto"/>
      </w:pPr>
      <w:r>
        <w:separator/>
      </w:r>
    </w:p>
  </w:footnote>
  <w:footnote w:type="continuationSeparator" w:id="0">
    <w:p w14:paraId="32D0D0A8" w14:textId="77777777" w:rsidR="006C59C1" w:rsidRDefault="006C59C1"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99C3" w14:textId="3DC17E6A"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165A1">
      <w:rPr>
        <w:rStyle w:val="Seitenzahl"/>
        <w:noProof/>
      </w:rPr>
      <w:t>1</w: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E02A" w14:textId="0CF3D30C" w:rsidR="00EC795A" w:rsidRPr="005D15A0" w:rsidRDefault="0068727B" w:rsidP="005D15A0">
    <w:pPr>
      <w:pStyle w:val="Kopfzeile"/>
      <w:ind w:left="1191" w:right="1418" w:hanging="1191"/>
      <w:rPr>
        <w:b/>
        <w:bCs/>
        <w:color w:val="3364B3"/>
        <w:sz w:val="28"/>
        <w:szCs w:val="28"/>
        <w:lang w:val="en-US"/>
      </w:rPr>
    </w:pPr>
    <w:r w:rsidRPr="008D30D1">
      <w:rPr>
        <w:noProof/>
        <w:sz w:val="28"/>
        <w:szCs w:val="28"/>
      </w:rPr>
      <w:drawing>
        <wp:anchor distT="0" distB="0" distL="114300" distR="114300" simplePos="0" relativeHeight="251655168"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5D15A0" w:rsidRPr="00866BBB">
      <w:rPr>
        <w:noProof/>
        <w:sz w:val="28"/>
        <w:szCs w:val="28"/>
      </w:rPr>
      <w:drawing>
        <wp:anchor distT="0" distB="0" distL="114300" distR="114300" simplePos="0" relativeHeight="251671552" behindDoc="0" locked="0" layoutInCell="1" allowOverlap="1" wp14:anchorId="42F1D08C" wp14:editId="51DA5EB4">
          <wp:simplePos x="0" y="0"/>
          <wp:positionH relativeFrom="margin">
            <wp:align>right</wp:align>
          </wp:positionH>
          <wp:positionV relativeFrom="paragraph">
            <wp:posOffset>-137375</wp:posOffset>
          </wp:positionV>
          <wp:extent cx="342000" cy="432000"/>
          <wp:effectExtent l="0" t="0" r="127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C13C53">
      <w:rPr>
        <w:b/>
        <w:bCs/>
        <w:color w:val="3364B3"/>
        <w:sz w:val="28"/>
        <w:szCs w:val="28"/>
        <w:lang w:val="en-US"/>
      </w:rPr>
      <w:t>Activity</w:t>
    </w:r>
    <w:r w:rsidR="00240700">
      <w:rPr>
        <w:b/>
        <w:bCs/>
        <w:color w:val="3364B3"/>
        <w:sz w:val="28"/>
        <w:szCs w:val="28"/>
        <w:lang w:val="en-US"/>
      </w:rPr>
      <w:t xml:space="preserve">: </w:t>
    </w:r>
    <w:r w:rsidR="006C518B">
      <w:rPr>
        <w:b/>
        <w:bCs/>
        <w:color w:val="3364B3"/>
        <w:sz w:val="28"/>
        <w:szCs w:val="28"/>
        <w:lang w:val="en-US"/>
      </w:rPr>
      <w:t xml:space="preserve">Case Study – </w:t>
    </w:r>
    <w:r w:rsidR="006F4071">
      <w:rPr>
        <w:b/>
        <w:bCs/>
        <w:color w:val="3364B3"/>
        <w:sz w:val="28"/>
        <w:szCs w:val="28"/>
        <w:lang w:val="en-US"/>
      </w:rPr>
      <w:t>De Bonos thinking hats</w:t>
    </w:r>
  </w:p>
  <w:p w14:paraId="5974ADFC" w14:textId="58EC9C72" w:rsidR="004D6D8C" w:rsidRPr="005D15A0" w:rsidRDefault="004D6D8C" w:rsidP="007E02B6">
    <w:pPr>
      <w:pStyle w:val="Kopfzeile"/>
      <w:spacing w:line="264" w:lineRule="auto"/>
      <w:ind w:left="1191" w:right="1418"/>
      <w:rPr>
        <w:b/>
        <w:bCs/>
        <w:color w:val="3364B3"/>
        <w:sz w:val="16"/>
        <w:szCs w:val="16"/>
        <w:lang w:val="en-US"/>
      </w:rPr>
    </w:pPr>
  </w:p>
  <w:p w14:paraId="67431AEA" w14:textId="77777777" w:rsidR="0095241B" w:rsidRPr="005D15A0" w:rsidRDefault="0095241B" w:rsidP="007E02B6">
    <w:pPr>
      <w:pStyle w:val="Kopfzeile"/>
      <w:pBdr>
        <w:bottom w:val="single" w:sz="4" w:space="1" w:color="006BB3"/>
      </w:pBdr>
      <w:spacing w:line="264" w:lineRule="auto"/>
      <w:rPr>
        <w:b/>
        <w:bCs/>
        <w:color w:val="3364B3"/>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262B" w14:textId="77777777" w:rsidR="003D152F" w:rsidRPr="00C13C53" w:rsidRDefault="003D152F" w:rsidP="003D152F">
    <w:pPr>
      <w:pStyle w:val="Kopfzeile"/>
      <w:ind w:left="1843" w:right="1418" w:hanging="1843"/>
      <w:rPr>
        <w:lang w:val="en-US"/>
      </w:rPr>
    </w:pPr>
    <w:r>
      <w:rPr>
        <w:b/>
        <w:bCs/>
        <w:noProof/>
        <w:color w:val="3364B3"/>
        <w:sz w:val="28"/>
        <w:szCs w:val="28"/>
      </w:rPr>
      <w:drawing>
        <wp:anchor distT="0" distB="0" distL="114300" distR="114300" simplePos="0" relativeHeight="251674112" behindDoc="0" locked="0" layoutInCell="1" allowOverlap="1" wp14:anchorId="2BEBA2AC" wp14:editId="7F648E89">
          <wp:simplePos x="0" y="0"/>
          <wp:positionH relativeFrom="margin">
            <wp:align>right</wp:align>
          </wp:positionH>
          <wp:positionV relativeFrom="paragraph">
            <wp:posOffset>-136525</wp:posOffset>
          </wp:positionV>
          <wp:extent cx="464400" cy="432000"/>
          <wp:effectExtent l="0" t="0" r="0" b="6350"/>
          <wp:wrapNone/>
          <wp:docPr id="890754790" name="Grafik 890754790" descr="Ein Bild, das Grafiken,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54790" name="Grafik 890754790" descr="Ein Bild, das Grafiken, Screenshot, Grafikdesign,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Pr="005D15A0">
      <w:rPr>
        <w:b/>
        <w:bCs/>
        <w:color w:val="3364B3"/>
        <w:sz w:val="28"/>
        <w:szCs w:val="28"/>
        <w:lang w:val="en-US"/>
      </w:rPr>
      <w:t>Worksheet:</w:t>
    </w:r>
    <w:r>
      <w:rPr>
        <w:b/>
        <w:bCs/>
        <w:color w:val="3364B3"/>
        <w:sz w:val="28"/>
        <w:szCs w:val="28"/>
        <w:lang w:val="en-US"/>
      </w:rPr>
      <w:t xml:space="preserve"> Case Study – De Bonos thinking hats</w:t>
    </w:r>
  </w:p>
  <w:p w14:paraId="47732453" w14:textId="77777777" w:rsidR="003D152F" w:rsidRPr="005D15A0" w:rsidRDefault="003D152F" w:rsidP="003D152F">
    <w:pPr>
      <w:pStyle w:val="Kopfzeile"/>
      <w:spacing w:line="264" w:lineRule="auto"/>
      <w:ind w:left="3828" w:right="1418" w:hanging="1985"/>
      <w:rPr>
        <w:b/>
        <w:bCs/>
        <w:color w:val="3364B3"/>
        <w:sz w:val="16"/>
        <w:szCs w:val="16"/>
        <w:lang w:val="en-US"/>
      </w:rPr>
    </w:pPr>
  </w:p>
  <w:p w14:paraId="274562CA" w14:textId="77777777" w:rsidR="003D152F" w:rsidRPr="005D15A0" w:rsidRDefault="003D152F" w:rsidP="003D152F">
    <w:pPr>
      <w:pStyle w:val="Kopfzeile"/>
      <w:pBdr>
        <w:bottom w:val="single" w:sz="4" w:space="1" w:color="006BB3"/>
      </w:pBdr>
      <w:spacing w:line="264" w:lineRule="auto"/>
      <w:rPr>
        <w:b/>
        <w:bCs/>
        <w:color w:val="3364B3"/>
        <w:sz w:val="2"/>
        <w:szCs w:val="2"/>
        <w:lang w:val="en-US"/>
      </w:rPr>
    </w:pPr>
  </w:p>
  <w:p w14:paraId="3E2516AC" w14:textId="77777777" w:rsidR="003E370B" w:rsidRPr="003D152F" w:rsidRDefault="003E370B" w:rsidP="003D152F">
    <w:pPr>
      <w:pStyle w:val="Kopfzeile"/>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3DB329F6"/>
    <w:multiLevelType w:val="multilevel"/>
    <w:tmpl w:val="C2386C9A"/>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5"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6"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7"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9"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0" w15:restartNumberingAfterBreak="0">
    <w:nsid w:val="562C29AF"/>
    <w:multiLevelType w:val="multilevel"/>
    <w:tmpl w:val="8D86C190"/>
    <w:numStyleLink w:val="Aufzhlung2"/>
  </w:abstractNum>
  <w:abstractNum w:abstractNumId="31"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3" w15:restartNumberingAfterBreak="0">
    <w:nsid w:val="62AB0814"/>
    <w:multiLevelType w:val="multilevel"/>
    <w:tmpl w:val="3758A506"/>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4"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6CE0075"/>
    <w:multiLevelType w:val="multilevel"/>
    <w:tmpl w:val="DA8A64C6"/>
    <w:lvl w:ilvl="0">
      <w:start w:val="1"/>
      <w:numFmt w:val="decimal"/>
      <w:lvlText w:val="%1."/>
      <w:lvlJc w:val="left"/>
      <w:pPr>
        <w:ind w:left="284" w:hanging="284"/>
      </w:pPr>
      <w:rPr>
        <w:rFonts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6"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7"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71297205">
    <w:abstractNumId w:val="31"/>
  </w:num>
  <w:num w:numId="2" w16cid:durableId="415905693">
    <w:abstractNumId w:val="37"/>
  </w:num>
  <w:num w:numId="3" w16cid:durableId="904612108">
    <w:abstractNumId w:val="20"/>
  </w:num>
  <w:num w:numId="4" w16cid:durableId="1190992913">
    <w:abstractNumId w:val="7"/>
  </w:num>
  <w:num w:numId="5" w16cid:durableId="1332024269">
    <w:abstractNumId w:val="10"/>
  </w:num>
  <w:num w:numId="6" w16cid:durableId="1900630852">
    <w:abstractNumId w:val="32"/>
  </w:num>
  <w:num w:numId="7" w16cid:durableId="2057120438">
    <w:abstractNumId w:val="19"/>
  </w:num>
  <w:num w:numId="8" w16cid:durableId="1117258209">
    <w:abstractNumId w:val="0"/>
  </w:num>
  <w:num w:numId="9" w16cid:durableId="1148283093">
    <w:abstractNumId w:val="0"/>
  </w:num>
  <w:num w:numId="10" w16cid:durableId="1949924530">
    <w:abstractNumId w:val="32"/>
  </w:num>
  <w:num w:numId="11" w16cid:durableId="1189641572">
    <w:abstractNumId w:val="8"/>
  </w:num>
  <w:num w:numId="12" w16cid:durableId="431974737">
    <w:abstractNumId w:val="25"/>
  </w:num>
  <w:num w:numId="13" w16cid:durableId="1437748972">
    <w:abstractNumId w:val="36"/>
  </w:num>
  <w:num w:numId="14" w16cid:durableId="1440833702">
    <w:abstractNumId w:val="26"/>
  </w:num>
  <w:num w:numId="15" w16cid:durableId="2109301766">
    <w:abstractNumId w:val="2"/>
  </w:num>
  <w:num w:numId="16" w16cid:durableId="918712644">
    <w:abstractNumId w:val="23"/>
  </w:num>
  <w:num w:numId="17" w16cid:durableId="517428633">
    <w:abstractNumId w:val="1"/>
  </w:num>
  <w:num w:numId="18" w16cid:durableId="326831692">
    <w:abstractNumId w:val="5"/>
  </w:num>
  <w:num w:numId="19" w16cid:durableId="379011847">
    <w:abstractNumId w:val="29"/>
  </w:num>
  <w:num w:numId="20" w16cid:durableId="675763631">
    <w:abstractNumId w:val="16"/>
  </w:num>
  <w:num w:numId="21" w16cid:durableId="382218552">
    <w:abstractNumId w:val="11"/>
  </w:num>
  <w:num w:numId="22" w16cid:durableId="760176550">
    <w:abstractNumId w:val="6"/>
  </w:num>
  <w:num w:numId="23" w16cid:durableId="1937857085">
    <w:abstractNumId w:val="14"/>
  </w:num>
  <w:num w:numId="24" w16cid:durableId="337194233">
    <w:abstractNumId w:val="34"/>
  </w:num>
  <w:num w:numId="25" w16cid:durableId="1597784274">
    <w:abstractNumId w:val="18"/>
  </w:num>
  <w:num w:numId="26" w16cid:durableId="1922449889">
    <w:abstractNumId w:val="21"/>
  </w:num>
  <w:num w:numId="27" w16cid:durableId="1806502546">
    <w:abstractNumId w:val="15"/>
  </w:num>
  <w:num w:numId="28" w16cid:durableId="1635527784">
    <w:abstractNumId w:val="27"/>
  </w:num>
  <w:num w:numId="29" w16cid:durableId="408500886">
    <w:abstractNumId w:val="12"/>
  </w:num>
  <w:num w:numId="30" w16cid:durableId="1506555403">
    <w:abstractNumId w:val="13"/>
  </w:num>
  <w:num w:numId="31" w16cid:durableId="1724909086">
    <w:abstractNumId w:val="30"/>
  </w:num>
  <w:num w:numId="32" w16cid:durableId="817764540">
    <w:abstractNumId w:val="28"/>
  </w:num>
  <w:num w:numId="33" w16cid:durableId="372729108">
    <w:abstractNumId w:val="9"/>
  </w:num>
  <w:num w:numId="34" w16cid:durableId="1761028817">
    <w:abstractNumId w:val="3"/>
  </w:num>
  <w:num w:numId="35" w16cid:durableId="546334024">
    <w:abstractNumId w:val="17"/>
  </w:num>
  <w:num w:numId="36" w16cid:durableId="1536043353">
    <w:abstractNumId w:val="22"/>
  </w:num>
  <w:num w:numId="37" w16cid:durableId="1051148801">
    <w:abstractNumId w:val="4"/>
  </w:num>
  <w:num w:numId="38" w16cid:durableId="1766657295">
    <w:abstractNumId w:val="24"/>
  </w:num>
  <w:num w:numId="39" w16cid:durableId="1996646752">
    <w:abstractNumId w:val="35"/>
  </w:num>
  <w:num w:numId="40" w16cid:durableId="21427225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629E2"/>
    <w:rsid w:val="000A0B81"/>
    <w:rsid w:val="000B58EE"/>
    <w:rsid w:val="000D692D"/>
    <w:rsid w:val="000E1FE3"/>
    <w:rsid w:val="00130773"/>
    <w:rsid w:val="00135580"/>
    <w:rsid w:val="00136442"/>
    <w:rsid w:val="0015341F"/>
    <w:rsid w:val="00155F8C"/>
    <w:rsid w:val="0016657B"/>
    <w:rsid w:val="0020106A"/>
    <w:rsid w:val="00216F3E"/>
    <w:rsid w:val="00226FEB"/>
    <w:rsid w:val="00236B86"/>
    <w:rsid w:val="00240700"/>
    <w:rsid w:val="00251453"/>
    <w:rsid w:val="00251BC7"/>
    <w:rsid w:val="002959D5"/>
    <w:rsid w:val="002A4D87"/>
    <w:rsid w:val="002B57B4"/>
    <w:rsid w:val="002B7C37"/>
    <w:rsid w:val="003B44D5"/>
    <w:rsid w:val="003D152F"/>
    <w:rsid w:val="003E370B"/>
    <w:rsid w:val="004165A1"/>
    <w:rsid w:val="00431B15"/>
    <w:rsid w:val="00451C61"/>
    <w:rsid w:val="00456A08"/>
    <w:rsid w:val="00472056"/>
    <w:rsid w:val="004D6D8C"/>
    <w:rsid w:val="005B5AA0"/>
    <w:rsid w:val="005B7351"/>
    <w:rsid w:val="005C6FBF"/>
    <w:rsid w:val="005D027B"/>
    <w:rsid w:val="005D15A0"/>
    <w:rsid w:val="005D20A6"/>
    <w:rsid w:val="005D6F2B"/>
    <w:rsid w:val="005F22F4"/>
    <w:rsid w:val="0060495F"/>
    <w:rsid w:val="00661E71"/>
    <w:rsid w:val="006811BB"/>
    <w:rsid w:val="0068727B"/>
    <w:rsid w:val="006C518B"/>
    <w:rsid w:val="006C59C1"/>
    <w:rsid w:val="006D7621"/>
    <w:rsid w:val="006F4071"/>
    <w:rsid w:val="00704586"/>
    <w:rsid w:val="00715588"/>
    <w:rsid w:val="00723BBE"/>
    <w:rsid w:val="0072430E"/>
    <w:rsid w:val="007255EF"/>
    <w:rsid w:val="00744676"/>
    <w:rsid w:val="0077317A"/>
    <w:rsid w:val="00781DE7"/>
    <w:rsid w:val="007B7F2A"/>
    <w:rsid w:val="007E02B6"/>
    <w:rsid w:val="007F12B7"/>
    <w:rsid w:val="00863ACE"/>
    <w:rsid w:val="00866BBB"/>
    <w:rsid w:val="0089751B"/>
    <w:rsid w:val="008A29EC"/>
    <w:rsid w:val="008A740D"/>
    <w:rsid w:val="008B7D06"/>
    <w:rsid w:val="008D30D1"/>
    <w:rsid w:val="008F445A"/>
    <w:rsid w:val="0095241B"/>
    <w:rsid w:val="00991123"/>
    <w:rsid w:val="00992A0F"/>
    <w:rsid w:val="00997037"/>
    <w:rsid w:val="009C607C"/>
    <w:rsid w:val="00A60C6C"/>
    <w:rsid w:val="00A66EBA"/>
    <w:rsid w:val="00A76320"/>
    <w:rsid w:val="00A87365"/>
    <w:rsid w:val="00A949EF"/>
    <w:rsid w:val="00AD09E3"/>
    <w:rsid w:val="00AE158D"/>
    <w:rsid w:val="00B96198"/>
    <w:rsid w:val="00C1027A"/>
    <w:rsid w:val="00C13C53"/>
    <w:rsid w:val="00C22D17"/>
    <w:rsid w:val="00C246C7"/>
    <w:rsid w:val="00C5044C"/>
    <w:rsid w:val="00C727F7"/>
    <w:rsid w:val="00C85351"/>
    <w:rsid w:val="00C934A0"/>
    <w:rsid w:val="00CC4072"/>
    <w:rsid w:val="00D37C28"/>
    <w:rsid w:val="00D45C5C"/>
    <w:rsid w:val="00D520B4"/>
    <w:rsid w:val="00D73D0A"/>
    <w:rsid w:val="00D94F5F"/>
    <w:rsid w:val="00D96EC7"/>
    <w:rsid w:val="00DA51BE"/>
    <w:rsid w:val="00DB6CA5"/>
    <w:rsid w:val="00E1604D"/>
    <w:rsid w:val="00E4580B"/>
    <w:rsid w:val="00E54DEF"/>
    <w:rsid w:val="00E56D11"/>
    <w:rsid w:val="00E65B76"/>
    <w:rsid w:val="00E901B9"/>
    <w:rsid w:val="00EC25B0"/>
    <w:rsid w:val="00EC795A"/>
    <w:rsid w:val="00EC7A8C"/>
    <w:rsid w:val="00ED0484"/>
    <w:rsid w:val="00F370DC"/>
    <w:rsid w:val="00F42B3A"/>
    <w:rsid w:val="00F50D36"/>
    <w:rsid w:val="00F61381"/>
    <w:rsid w:val="00F64153"/>
    <w:rsid w:val="00F74C72"/>
    <w:rsid w:val="00FB02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1E8117BF-B51E-4691-B811-023EB63C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8</cp:revision>
  <dcterms:created xsi:type="dcterms:W3CDTF">2023-01-17T14:41:00Z</dcterms:created>
  <dcterms:modified xsi:type="dcterms:W3CDTF">2024-05-19T14:27:00Z</dcterms:modified>
</cp:coreProperties>
</file>