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651017" w:rsidRPr="009D34C3" w14:paraId="2C5EEB98" w14:textId="77777777" w:rsidTr="00F50D36">
        <w:tc>
          <w:tcPr>
            <w:tcW w:w="2693" w:type="dxa"/>
          </w:tcPr>
          <w:p w14:paraId="28283CBE" w14:textId="0F8E2105" w:rsidR="00C5044C" w:rsidRPr="00C5044C" w:rsidRDefault="0037406F" w:rsidP="002959D5">
            <w:pPr>
              <w:pStyle w:val="berschrift2"/>
            </w:pPr>
            <w:r>
              <w:t>Short description</w:t>
            </w:r>
          </w:p>
        </w:tc>
        <w:tc>
          <w:tcPr>
            <w:tcW w:w="425" w:type="dxa"/>
          </w:tcPr>
          <w:p w14:paraId="2AAF193F" w14:textId="77777777" w:rsidR="00C5044C" w:rsidRDefault="00C5044C" w:rsidP="00F42B3A">
            <w:pPr>
              <w:shd w:val="clear" w:color="auto" w:fill="auto"/>
            </w:pPr>
          </w:p>
        </w:tc>
        <w:tc>
          <w:tcPr>
            <w:tcW w:w="6521" w:type="dxa"/>
          </w:tcPr>
          <w:p w14:paraId="1A683FA9" w14:textId="3AF559BE" w:rsidR="00BE2723" w:rsidRPr="00EE3B6C" w:rsidRDefault="0037406F" w:rsidP="00D87BFA">
            <w:pPr>
              <w:shd w:val="clear" w:color="auto" w:fill="auto"/>
              <w:rPr>
                <w:color w:val="000000"/>
                <w:lang w:val="en-US"/>
              </w:rPr>
            </w:pPr>
            <w:r w:rsidRPr="00EE3B6C">
              <w:rPr>
                <w:color w:val="000000"/>
                <w:lang w:val="en-US"/>
              </w:rPr>
              <w:t>Participants analyze a case study based on the cultural reflexive approach.</w:t>
            </w:r>
          </w:p>
        </w:tc>
      </w:tr>
      <w:tr w:rsidR="00651017" w:rsidRPr="009D34C3" w14:paraId="35BD5052" w14:textId="77777777" w:rsidTr="00F50D36">
        <w:tc>
          <w:tcPr>
            <w:tcW w:w="2693" w:type="dxa"/>
          </w:tcPr>
          <w:p w14:paraId="5080FEB5" w14:textId="305E11CD" w:rsidR="00C5044C" w:rsidRPr="002959D5" w:rsidRDefault="0037406F" w:rsidP="002959D5">
            <w:pPr>
              <w:pStyle w:val="berschrift2"/>
            </w:pPr>
            <w:r>
              <w:t>Goals</w:t>
            </w:r>
          </w:p>
        </w:tc>
        <w:tc>
          <w:tcPr>
            <w:tcW w:w="425" w:type="dxa"/>
          </w:tcPr>
          <w:p w14:paraId="7FB85372" w14:textId="77777777" w:rsidR="00C5044C" w:rsidRDefault="00C5044C" w:rsidP="00F42B3A">
            <w:pPr>
              <w:shd w:val="clear" w:color="auto" w:fill="auto"/>
            </w:pPr>
          </w:p>
        </w:tc>
        <w:tc>
          <w:tcPr>
            <w:tcW w:w="6521" w:type="dxa"/>
          </w:tcPr>
          <w:p w14:paraId="15F7C80D" w14:textId="0590A869" w:rsidR="0037406F" w:rsidRPr="00EE3B6C" w:rsidRDefault="0037406F" w:rsidP="0037406F">
            <w:pPr>
              <w:pStyle w:val="Listenabsatz"/>
              <w:numPr>
                <w:ilvl w:val="0"/>
                <w:numId w:val="32"/>
              </w:numPr>
              <w:shd w:val="clear" w:color="auto" w:fill="auto"/>
              <w:rPr>
                <w:color w:val="000000"/>
                <w:lang w:val="en-US"/>
              </w:rPr>
            </w:pPr>
            <w:r w:rsidRPr="00EE3B6C">
              <w:rPr>
                <w:color w:val="000000"/>
                <w:lang w:val="en-US"/>
              </w:rPr>
              <w:t>The participants apply the cultural reflexive approach to a case study from practice.</w:t>
            </w:r>
          </w:p>
          <w:p w14:paraId="5DC26281" w14:textId="3112EEFA" w:rsidR="0037406F" w:rsidRPr="00EE3B6C" w:rsidRDefault="0037406F" w:rsidP="0037406F">
            <w:pPr>
              <w:pStyle w:val="Listenabsatz"/>
              <w:numPr>
                <w:ilvl w:val="0"/>
                <w:numId w:val="32"/>
              </w:numPr>
              <w:shd w:val="clear" w:color="auto" w:fill="auto"/>
              <w:rPr>
                <w:color w:val="000000"/>
                <w:lang w:val="en-US"/>
              </w:rPr>
            </w:pPr>
            <w:r w:rsidRPr="00EE3B6C">
              <w:rPr>
                <w:color w:val="000000"/>
                <w:lang w:val="en-US"/>
              </w:rPr>
              <w:t>The participants analyze the described situation from the three meta-perspectives of the culture-reflexive approach.</w:t>
            </w:r>
          </w:p>
          <w:p w14:paraId="5D66399E" w14:textId="316BFCF6" w:rsidR="00991123" w:rsidRPr="00EE3B6C" w:rsidRDefault="0037406F" w:rsidP="0037406F">
            <w:pPr>
              <w:pStyle w:val="Listenabsatz"/>
              <w:numPr>
                <w:ilvl w:val="0"/>
                <w:numId w:val="32"/>
              </w:numPr>
              <w:shd w:val="clear" w:color="auto" w:fill="auto"/>
              <w:rPr>
                <w:color w:val="000000"/>
                <w:lang w:val="en-US"/>
              </w:rPr>
            </w:pPr>
            <w:r w:rsidRPr="00EE3B6C">
              <w:rPr>
                <w:color w:val="000000"/>
                <w:lang w:val="en-US"/>
              </w:rPr>
              <w:t>The participants are sensit</w:t>
            </w:r>
            <w:r w:rsidR="00E76EE5">
              <w:rPr>
                <w:color w:val="000000"/>
                <w:lang w:val="en-US"/>
              </w:rPr>
              <w:t>is</w:t>
            </w:r>
            <w:r w:rsidRPr="00EE3B6C">
              <w:rPr>
                <w:color w:val="000000"/>
                <w:lang w:val="en-US"/>
              </w:rPr>
              <w:t>ed to ambiguities and thus further develop their tolerance for ambiguity.</w:t>
            </w:r>
          </w:p>
        </w:tc>
      </w:tr>
      <w:tr w:rsidR="00651017" w:rsidRPr="00651017" w14:paraId="0B04F37D" w14:textId="77777777" w:rsidTr="0010792F">
        <w:trPr>
          <w:trHeight w:val="664"/>
        </w:trPr>
        <w:tc>
          <w:tcPr>
            <w:tcW w:w="2693" w:type="dxa"/>
          </w:tcPr>
          <w:p w14:paraId="3733B4FD" w14:textId="0B1E4777" w:rsidR="00C5044C" w:rsidRPr="00C5044C" w:rsidRDefault="0037406F" w:rsidP="002959D5">
            <w:pPr>
              <w:pStyle w:val="berschrift2"/>
            </w:pPr>
            <w:r>
              <w:t>Time</w:t>
            </w:r>
          </w:p>
        </w:tc>
        <w:tc>
          <w:tcPr>
            <w:tcW w:w="425" w:type="dxa"/>
          </w:tcPr>
          <w:p w14:paraId="55B32B45" w14:textId="77777777" w:rsidR="00C5044C" w:rsidRDefault="00C5044C" w:rsidP="00F42B3A">
            <w:pPr>
              <w:shd w:val="clear" w:color="auto" w:fill="auto"/>
            </w:pPr>
          </w:p>
        </w:tc>
        <w:tc>
          <w:tcPr>
            <w:tcW w:w="6521" w:type="dxa"/>
          </w:tcPr>
          <w:p w14:paraId="558FDC58" w14:textId="553A6D17" w:rsidR="00C5044C" w:rsidRPr="00EE3B6C" w:rsidRDefault="00FC0487" w:rsidP="00F42B3A">
            <w:pPr>
              <w:shd w:val="clear" w:color="auto" w:fill="auto"/>
              <w:rPr>
                <w:color w:val="000000"/>
              </w:rPr>
            </w:pPr>
            <w:r w:rsidRPr="00EE3B6C">
              <w:rPr>
                <w:color w:val="000000"/>
              </w:rPr>
              <w:t>n/a</w:t>
            </w:r>
          </w:p>
        </w:tc>
      </w:tr>
      <w:tr w:rsidR="00651017" w:rsidRPr="00651017" w14:paraId="53CA8A1B" w14:textId="77777777" w:rsidTr="00F50D36">
        <w:tc>
          <w:tcPr>
            <w:tcW w:w="2693" w:type="dxa"/>
          </w:tcPr>
          <w:p w14:paraId="344B0373" w14:textId="0BD3D61A" w:rsidR="006E28B2" w:rsidRDefault="0037406F" w:rsidP="002959D5">
            <w:pPr>
              <w:pStyle w:val="berschrift2"/>
            </w:pPr>
            <w:r>
              <w:t>Method</w:t>
            </w:r>
          </w:p>
        </w:tc>
        <w:tc>
          <w:tcPr>
            <w:tcW w:w="425" w:type="dxa"/>
          </w:tcPr>
          <w:p w14:paraId="3CD01CBB" w14:textId="77777777" w:rsidR="006E28B2" w:rsidRDefault="006E28B2" w:rsidP="00F42B3A">
            <w:pPr>
              <w:shd w:val="clear" w:color="auto" w:fill="auto"/>
            </w:pPr>
          </w:p>
        </w:tc>
        <w:tc>
          <w:tcPr>
            <w:tcW w:w="6521" w:type="dxa"/>
          </w:tcPr>
          <w:p w14:paraId="46DBDF25" w14:textId="76D39053" w:rsidR="0037406F" w:rsidRPr="00EE3B6C" w:rsidRDefault="0037406F" w:rsidP="0037406F">
            <w:pPr>
              <w:pStyle w:val="Listenabsatz"/>
              <w:numPr>
                <w:ilvl w:val="0"/>
                <w:numId w:val="32"/>
              </w:numPr>
              <w:shd w:val="clear" w:color="auto" w:fill="auto"/>
              <w:rPr>
                <w:color w:val="000000"/>
              </w:rPr>
            </w:pPr>
            <w:r w:rsidRPr="00EE3B6C">
              <w:rPr>
                <w:color w:val="000000"/>
              </w:rPr>
              <w:t>Culturally unspecific</w:t>
            </w:r>
          </w:p>
          <w:p w14:paraId="16EB167D" w14:textId="25112F81" w:rsidR="006E28B2" w:rsidRPr="00EE3B6C" w:rsidRDefault="0037406F" w:rsidP="0037406F">
            <w:pPr>
              <w:pStyle w:val="Listenabsatz"/>
              <w:numPr>
                <w:ilvl w:val="0"/>
                <w:numId w:val="32"/>
              </w:numPr>
              <w:shd w:val="clear" w:color="auto" w:fill="auto"/>
              <w:rPr>
                <w:color w:val="000000"/>
              </w:rPr>
            </w:pPr>
            <w:r w:rsidRPr="00EE3B6C">
              <w:rPr>
                <w:color w:val="000000"/>
              </w:rPr>
              <w:t>distributive/instructive</w:t>
            </w:r>
          </w:p>
        </w:tc>
      </w:tr>
      <w:tr w:rsidR="00651017" w:rsidRPr="00651017" w14:paraId="4B2D2E6F" w14:textId="77777777" w:rsidTr="00F50D36">
        <w:tc>
          <w:tcPr>
            <w:tcW w:w="2693" w:type="dxa"/>
          </w:tcPr>
          <w:p w14:paraId="1E472FE1" w14:textId="167DED67"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4131CCAA" w:rsidR="008A29EC" w:rsidRPr="00EE3B6C" w:rsidRDefault="0037406F" w:rsidP="00261CC4">
            <w:pPr>
              <w:pStyle w:val="Listenabsatz"/>
              <w:numPr>
                <w:ilvl w:val="0"/>
                <w:numId w:val="32"/>
              </w:numPr>
              <w:shd w:val="clear" w:color="auto" w:fill="auto"/>
              <w:rPr>
                <w:color w:val="000000"/>
              </w:rPr>
            </w:pPr>
            <w:r w:rsidRPr="00EE3B6C">
              <w:rPr>
                <w:color w:val="000000"/>
              </w:rPr>
              <w:t>Worksheet</w:t>
            </w:r>
          </w:p>
        </w:tc>
      </w:tr>
      <w:tr w:rsidR="00651017" w:rsidRPr="00F739E0" w14:paraId="208652F1" w14:textId="77777777" w:rsidTr="00F50D36">
        <w:tc>
          <w:tcPr>
            <w:tcW w:w="2693" w:type="dxa"/>
          </w:tcPr>
          <w:p w14:paraId="4A638A40" w14:textId="5269A0BA" w:rsidR="00744676" w:rsidRDefault="0037406F" w:rsidP="002959D5">
            <w:pPr>
              <w:pStyle w:val="berschrift2"/>
              <w:rPr>
                <w:b w:val="0"/>
                <w:bCs/>
              </w:rPr>
            </w:pPr>
            <w:r>
              <w:t>Implementation</w:t>
            </w:r>
          </w:p>
        </w:tc>
        <w:tc>
          <w:tcPr>
            <w:tcW w:w="425" w:type="dxa"/>
          </w:tcPr>
          <w:p w14:paraId="67BB8560" w14:textId="77777777" w:rsidR="00744676" w:rsidRDefault="00744676" w:rsidP="00F42B3A">
            <w:pPr>
              <w:shd w:val="clear" w:color="auto" w:fill="auto"/>
            </w:pPr>
          </w:p>
        </w:tc>
        <w:tc>
          <w:tcPr>
            <w:tcW w:w="6521" w:type="dxa"/>
          </w:tcPr>
          <w:p w14:paraId="1FF8A2B2" w14:textId="18AAEB3C" w:rsidR="00226FEB" w:rsidRPr="00EE3B6C" w:rsidRDefault="0035188B" w:rsidP="0035188B">
            <w:pPr>
              <w:pStyle w:val="Listenabsatz"/>
              <w:shd w:val="clear" w:color="auto" w:fill="auto"/>
              <w:ind w:left="1" w:firstLine="0"/>
              <w:rPr>
                <w:color w:val="000000"/>
                <w:lang w:val="en-US"/>
              </w:rPr>
            </w:pPr>
            <w:r w:rsidRPr="00EE3B6C">
              <w:rPr>
                <w:color w:val="000000"/>
                <w:lang w:val="en-US"/>
              </w:rPr>
              <w:t>n/a</w:t>
            </w:r>
            <w:r w:rsidR="00F739E0" w:rsidRPr="00EE3B6C">
              <w:rPr>
                <w:color w:val="000000"/>
                <w:lang w:val="en-US"/>
              </w:rPr>
              <w:t xml:space="preserve"> </w:t>
            </w:r>
          </w:p>
        </w:tc>
      </w:tr>
      <w:tr w:rsidR="0035188B" w14:paraId="4D181EA6" w14:textId="77777777" w:rsidTr="00F50D36">
        <w:tc>
          <w:tcPr>
            <w:tcW w:w="2693" w:type="dxa"/>
          </w:tcPr>
          <w:p w14:paraId="753586A6" w14:textId="1574D6EC" w:rsidR="0035188B" w:rsidRDefault="0037406F" w:rsidP="00A949EF">
            <w:pPr>
              <w:pStyle w:val="berschrift2"/>
              <w:rPr>
                <w:b w:val="0"/>
                <w:bCs/>
              </w:rPr>
            </w:pPr>
            <w:r>
              <w:t>Notes</w:t>
            </w:r>
          </w:p>
        </w:tc>
        <w:tc>
          <w:tcPr>
            <w:tcW w:w="425" w:type="dxa"/>
          </w:tcPr>
          <w:p w14:paraId="217B7E2D" w14:textId="77777777" w:rsidR="0035188B" w:rsidRDefault="0035188B" w:rsidP="00F42B3A">
            <w:pPr>
              <w:shd w:val="clear" w:color="auto" w:fill="auto"/>
            </w:pPr>
          </w:p>
        </w:tc>
        <w:tc>
          <w:tcPr>
            <w:tcW w:w="6521" w:type="dxa"/>
          </w:tcPr>
          <w:p w14:paraId="19A43F2B" w14:textId="78F3123C" w:rsidR="0035188B" w:rsidRDefault="0035188B" w:rsidP="00F42B3A">
            <w:pPr>
              <w:shd w:val="clear" w:color="auto" w:fill="auto"/>
            </w:pPr>
            <w:r>
              <w:rPr>
                <w:lang w:val="en-US"/>
              </w:rPr>
              <w:t>n/a</w:t>
            </w:r>
            <w:r w:rsidRPr="00F739E0">
              <w:rPr>
                <w:lang w:val="en-US"/>
              </w:rPr>
              <w:t xml:space="preserve"> </w:t>
            </w:r>
          </w:p>
        </w:tc>
      </w:tr>
      <w:tr w:rsidR="0035188B" w:rsidRPr="009D34C3" w14:paraId="33F15430" w14:textId="77777777" w:rsidTr="00F50D36">
        <w:tc>
          <w:tcPr>
            <w:tcW w:w="2693" w:type="dxa"/>
          </w:tcPr>
          <w:p w14:paraId="70EF2DD9" w14:textId="522E792E" w:rsidR="0035188B" w:rsidRDefault="0037406F" w:rsidP="002959D5">
            <w:pPr>
              <w:pStyle w:val="berschrift2"/>
              <w:rPr>
                <w:b w:val="0"/>
                <w:bCs/>
              </w:rPr>
            </w:pPr>
            <w:r>
              <w:t>Source</w:t>
            </w:r>
          </w:p>
        </w:tc>
        <w:tc>
          <w:tcPr>
            <w:tcW w:w="425" w:type="dxa"/>
          </w:tcPr>
          <w:p w14:paraId="22BEDFD6" w14:textId="77777777" w:rsidR="0035188B" w:rsidRDefault="0035188B" w:rsidP="00F42B3A">
            <w:pPr>
              <w:shd w:val="clear" w:color="auto" w:fill="auto"/>
            </w:pPr>
          </w:p>
        </w:tc>
        <w:tc>
          <w:tcPr>
            <w:tcW w:w="6521" w:type="dxa"/>
          </w:tcPr>
          <w:p w14:paraId="514F0886" w14:textId="5F1E2BDC" w:rsidR="0035188B" w:rsidRDefault="00D87BFA" w:rsidP="0051742E">
            <w:pPr>
              <w:shd w:val="clear" w:color="auto" w:fill="auto"/>
              <w:rPr>
                <w:lang w:val="en-US"/>
              </w:rPr>
            </w:pPr>
            <w:r w:rsidRPr="00D87BFA">
              <w:rPr>
                <w:lang w:val="en-US"/>
              </w:rPr>
              <w:t>Zeit Online, 16. O</w:t>
            </w:r>
            <w:r w:rsidR="006E43C3">
              <w:rPr>
                <w:lang w:val="en-US"/>
              </w:rPr>
              <w:t>c</w:t>
            </w:r>
            <w:r w:rsidRPr="00D87BFA">
              <w:rPr>
                <w:lang w:val="en-US"/>
              </w:rPr>
              <w:t>tober 2020</w:t>
            </w:r>
          </w:p>
          <w:p w14:paraId="43C8C926" w14:textId="5B24D9F2" w:rsidR="00D87BFA" w:rsidRPr="007C009C" w:rsidRDefault="00000000" w:rsidP="00455258">
            <w:pPr>
              <w:shd w:val="clear" w:color="auto" w:fill="auto"/>
              <w:spacing w:after="120"/>
              <w:rPr>
                <w:lang w:val="en-US"/>
              </w:rPr>
            </w:pPr>
            <w:hyperlink r:id="rId7" w:history="1">
              <w:r w:rsidR="009870D2" w:rsidRPr="00DD1F37">
                <w:rPr>
                  <w:rStyle w:val="Hyperlink"/>
                  <w:lang w:val="en-US"/>
                </w:rPr>
                <w:t>https://www.zeit.de/news/2020-10/16/mann-lehnt-haendeschuetteln-mit-frauen-ab-keine-einbuergerung</w:t>
              </w:r>
            </w:hyperlink>
          </w:p>
          <w:p w14:paraId="0F9DCDEA" w14:textId="030C0E6C" w:rsidR="00D87BFA" w:rsidRPr="0037406F" w:rsidRDefault="0037406F" w:rsidP="0051742E">
            <w:pPr>
              <w:shd w:val="clear" w:color="auto" w:fill="auto"/>
              <w:rPr>
                <w:lang w:val="en-US"/>
              </w:rPr>
            </w:pPr>
            <w:r w:rsidRPr="0037406F">
              <w:rPr>
                <w:sz w:val="20"/>
                <w:lang w:val="en-US"/>
              </w:rPr>
              <w:t>Elaboration of the learning review</w:t>
            </w:r>
            <w:r w:rsidR="005E4154" w:rsidRPr="0037406F">
              <w:rPr>
                <w:sz w:val="20"/>
                <w:lang w:val="en-US"/>
              </w:rPr>
              <w:t>: Andrea Voigt</w:t>
            </w:r>
          </w:p>
        </w:tc>
      </w:tr>
    </w:tbl>
    <w:p w14:paraId="22636018" w14:textId="77777777" w:rsidR="000B58EE" w:rsidRPr="0037406F" w:rsidRDefault="000B58EE">
      <w:pPr>
        <w:shd w:val="clear" w:color="auto" w:fill="auto"/>
        <w:spacing w:after="160" w:line="259" w:lineRule="auto"/>
        <w:rPr>
          <w:lang w:val="en-US"/>
        </w:rPr>
        <w:sectPr w:rsidR="000B58EE" w:rsidRPr="0037406F" w:rsidSect="00D94F5F">
          <w:headerReference w:type="even" r:id="rId8"/>
          <w:headerReference w:type="default" r:id="rId9"/>
          <w:footerReference w:type="even" r:id="rId10"/>
          <w:footerReference w:type="default" r:id="rId11"/>
          <w:headerReference w:type="first" r:id="rId12"/>
          <w:footerReference w:type="first" r:id="rId13"/>
          <w:pgSz w:w="11906" w:h="16838" w:code="9"/>
          <w:pgMar w:top="2268" w:right="851" w:bottom="851" w:left="1418" w:header="851" w:footer="397" w:gutter="0"/>
          <w:pgNumType w:start="1"/>
          <w:cols w:space="708"/>
          <w:docGrid w:linePitch="360"/>
        </w:sectPr>
      </w:pPr>
    </w:p>
    <w:p w14:paraId="640EE7DA" w14:textId="73E80103" w:rsidR="00863ACE" w:rsidRDefault="0037406F" w:rsidP="00863ACE">
      <w:pPr>
        <w:pStyle w:val="berschrift2"/>
        <w:spacing w:after="180"/>
      </w:pPr>
      <w:r>
        <w:lastRenderedPageBreak/>
        <w:t>Activity</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9D34C3" w14:paraId="27FF2C11" w14:textId="77777777" w:rsidTr="00EC7A8C">
        <w:tc>
          <w:tcPr>
            <w:tcW w:w="9639" w:type="dxa"/>
          </w:tcPr>
          <w:p w14:paraId="56D8D2B3" w14:textId="6423C7F7" w:rsidR="0037406F" w:rsidRPr="0037406F" w:rsidRDefault="0037406F" w:rsidP="0037406F">
            <w:pPr>
              <w:pStyle w:val="berschrift5"/>
              <w:rPr>
                <w:lang w:val="en-US"/>
              </w:rPr>
            </w:pPr>
            <w:r w:rsidRPr="0037406F">
              <w:rPr>
                <w:lang w:val="en-US"/>
              </w:rPr>
              <w:t>Learning Review: "Denial of Natural</w:t>
            </w:r>
            <w:r w:rsidR="00E76EE5">
              <w:rPr>
                <w:lang w:val="en-US"/>
              </w:rPr>
              <w:t>is</w:t>
            </w:r>
            <w:r w:rsidRPr="0037406F">
              <w:rPr>
                <w:lang w:val="en-US"/>
              </w:rPr>
              <w:t>ation"</w:t>
            </w:r>
          </w:p>
          <w:p w14:paraId="571804E0" w14:textId="77777777" w:rsidR="0037406F" w:rsidRPr="0037406F" w:rsidRDefault="0037406F" w:rsidP="0037406F">
            <w:pPr>
              <w:pStyle w:val="berschrift5"/>
              <w:rPr>
                <w:b w:val="0"/>
                <w:lang w:val="en-US"/>
              </w:rPr>
            </w:pPr>
          </w:p>
          <w:p w14:paraId="4F7FFC23" w14:textId="77777777" w:rsidR="0037406F" w:rsidRPr="0037406F" w:rsidRDefault="0037406F" w:rsidP="0037406F">
            <w:pPr>
              <w:pStyle w:val="berschrift5"/>
              <w:rPr>
                <w:b w:val="0"/>
                <w:lang w:val="en-US"/>
              </w:rPr>
            </w:pPr>
            <w:r w:rsidRPr="0037406F">
              <w:rPr>
                <w:b w:val="0"/>
                <w:lang w:val="en-US"/>
              </w:rPr>
              <w:t>Please read the following press article and answer the questions below.</w:t>
            </w:r>
          </w:p>
          <w:p w14:paraId="7BF8A0BB" w14:textId="44B7AB66" w:rsidR="0037406F" w:rsidRPr="0037406F" w:rsidRDefault="0037406F" w:rsidP="0037406F">
            <w:pPr>
              <w:pStyle w:val="berschrift5"/>
              <w:rPr>
                <w:b w:val="0"/>
                <w:lang w:val="en-US"/>
              </w:rPr>
            </w:pPr>
          </w:p>
          <w:p w14:paraId="0C3B13DB" w14:textId="7547056F" w:rsidR="0037406F" w:rsidRPr="0037406F" w:rsidRDefault="0037406F" w:rsidP="0037406F">
            <w:pPr>
              <w:pStyle w:val="berschrift5"/>
              <w:rPr>
                <w:lang w:val="en-US"/>
              </w:rPr>
            </w:pPr>
            <w:r w:rsidRPr="0037406F">
              <w:rPr>
                <w:lang w:val="en-US"/>
              </w:rPr>
              <w:t>Man refuses to shake hands with women: No naturali</w:t>
            </w:r>
            <w:r w:rsidR="00265242">
              <w:rPr>
                <w:lang w:val="en-US"/>
              </w:rPr>
              <w:t>s</w:t>
            </w:r>
            <w:r w:rsidRPr="0037406F">
              <w:rPr>
                <w:lang w:val="en-US"/>
              </w:rPr>
              <w:t>ation</w:t>
            </w:r>
          </w:p>
          <w:p w14:paraId="51757E04" w14:textId="77777777" w:rsidR="0037406F" w:rsidRPr="0037406F" w:rsidRDefault="0037406F" w:rsidP="0037406F">
            <w:pPr>
              <w:pStyle w:val="berschrift5"/>
              <w:rPr>
                <w:b w:val="0"/>
                <w:lang w:val="en-US"/>
              </w:rPr>
            </w:pPr>
          </w:p>
          <w:p w14:paraId="237047E8" w14:textId="007641A1" w:rsidR="0037406F" w:rsidRPr="0037406F" w:rsidRDefault="0037406F" w:rsidP="0037406F">
            <w:pPr>
              <w:pStyle w:val="berschrift5"/>
              <w:rPr>
                <w:b w:val="0"/>
                <w:lang w:val="en-US"/>
              </w:rPr>
            </w:pPr>
            <w:r w:rsidRPr="0037406F">
              <w:rPr>
                <w:b w:val="0"/>
                <w:lang w:val="en-US"/>
              </w:rPr>
              <w:t>A man who refuses to shake hands with women because of a fundamentalist set of values may not be natural</w:t>
            </w:r>
            <w:r w:rsidR="00E76EE5">
              <w:rPr>
                <w:b w:val="0"/>
                <w:lang w:val="en-US"/>
              </w:rPr>
              <w:t>is</w:t>
            </w:r>
            <w:r w:rsidRPr="0037406F">
              <w:rPr>
                <w:b w:val="0"/>
                <w:lang w:val="en-US"/>
              </w:rPr>
              <w:t>ed, according to a court ruling. The Administrative Court (VGH) has therefore rejected the natural</w:t>
            </w:r>
            <w:r w:rsidR="00E76EE5">
              <w:rPr>
                <w:b w:val="0"/>
                <w:lang w:val="en-US"/>
              </w:rPr>
              <w:t>is</w:t>
            </w:r>
            <w:r w:rsidRPr="0037406F">
              <w:rPr>
                <w:b w:val="0"/>
                <w:lang w:val="en-US"/>
              </w:rPr>
              <w:t>ation application of a Lebanese national. The man's attitude did not ensure that he would fit into German living conditions, the VGH said Friday. [...]</w:t>
            </w:r>
          </w:p>
          <w:p w14:paraId="25834AB4" w14:textId="77777777" w:rsidR="0037406F" w:rsidRPr="0037406F" w:rsidRDefault="0037406F" w:rsidP="0037406F">
            <w:pPr>
              <w:pStyle w:val="berschrift5"/>
              <w:rPr>
                <w:b w:val="0"/>
                <w:lang w:val="en-US"/>
              </w:rPr>
            </w:pPr>
          </w:p>
          <w:p w14:paraId="38D59071" w14:textId="179DF236" w:rsidR="0037406F" w:rsidRPr="0037406F" w:rsidRDefault="0037406F" w:rsidP="0037406F">
            <w:pPr>
              <w:pStyle w:val="berschrift5"/>
              <w:rPr>
                <w:b w:val="0"/>
                <w:lang w:val="en-US"/>
              </w:rPr>
            </w:pPr>
            <w:r w:rsidRPr="0037406F">
              <w:rPr>
                <w:b w:val="0"/>
                <w:lang w:val="en-US"/>
              </w:rPr>
              <w:t>According to the VGH, the man refuses to shake hands with any woman because she is of a different sex and is thus per se considered a threat to the man of sexual temptation or immoral action. The fact that the natural</w:t>
            </w:r>
            <w:r w:rsidR="00E76EE5">
              <w:rPr>
                <w:b w:val="0"/>
                <w:lang w:val="en-US"/>
              </w:rPr>
              <w:t>is</w:t>
            </w:r>
            <w:r w:rsidRPr="0037406F">
              <w:rPr>
                <w:b w:val="0"/>
                <w:lang w:val="en-US"/>
              </w:rPr>
              <w:t>ation applicant now no longer shakes hands with men either for reasons of equal treatment does not change the legal assessment. This was tactical behavior under the impression of the legal dispute. According to the court, the man has lived legally in Germany since 2002 and is now a senior physician at a clinic.</w:t>
            </w:r>
          </w:p>
          <w:p w14:paraId="7413099A" w14:textId="77777777" w:rsidR="0037406F" w:rsidRPr="0037406F" w:rsidRDefault="0037406F" w:rsidP="0037406F">
            <w:pPr>
              <w:pStyle w:val="berschrift5"/>
              <w:rPr>
                <w:b w:val="0"/>
                <w:lang w:val="en-US"/>
              </w:rPr>
            </w:pPr>
          </w:p>
          <w:p w14:paraId="19644EE3" w14:textId="3BFA3090" w:rsidR="0037406F" w:rsidRPr="0037406F" w:rsidRDefault="0037406F" w:rsidP="0037406F">
            <w:pPr>
              <w:pStyle w:val="berschrift5"/>
              <w:rPr>
                <w:b w:val="0"/>
                <w:lang w:val="en-US"/>
              </w:rPr>
            </w:pPr>
            <w:r w:rsidRPr="0037406F">
              <w:rPr>
                <w:b w:val="0"/>
                <w:lang w:val="en-US"/>
              </w:rPr>
              <w:t>The man's behavior had gotten in the way when he received his naturali</w:t>
            </w:r>
            <w:r w:rsidR="008D2C02">
              <w:rPr>
                <w:b w:val="0"/>
                <w:lang w:val="en-US"/>
              </w:rPr>
              <w:t>s</w:t>
            </w:r>
            <w:r w:rsidRPr="0037406F">
              <w:rPr>
                <w:b w:val="0"/>
                <w:lang w:val="en-US"/>
              </w:rPr>
              <w:t>ation certificate in 2015. After he had signed the leaflet on loyalty to the constitution and rejection of any form of extremism and achieved the maximum score in the natural</w:t>
            </w:r>
            <w:r w:rsidR="00E76EE5">
              <w:rPr>
                <w:b w:val="0"/>
                <w:lang w:val="en-US"/>
              </w:rPr>
              <w:t>is</w:t>
            </w:r>
            <w:r w:rsidRPr="0037406F">
              <w:rPr>
                <w:b w:val="0"/>
                <w:lang w:val="en-US"/>
              </w:rPr>
              <w:t>ation test, he refused to shake hands with [...] the responsible case worker. He justified this by saying that he had promised his wife - a Muslim woman of German nationality and Syrian origin - that he would not shake hands with any other woman.</w:t>
            </w:r>
          </w:p>
          <w:p w14:paraId="38330A32" w14:textId="77777777" w:rsidR="0037406F" w:rsidRPr="0037406F" w:rsidRDefault="0037406F" w:rsidP="0037406F">
            <w:pPr>
              <w:pStyle w:val="berschrift5"/>
              <w:rPr>
                <w:b w:val="0"/>
                <w:lang w:val="en-US"/>
              </w:rPr>
            </w:pPr>
          </w:p>
          <w:p w14:paraId="24FD795E" w14:textId="6CE6C238" w:rsidR="00651017" w:rsidRPr="0037406F" w:rsidRDefault="0037406F" w:rsidP="00D87BFA">
            <w:pPr>
              <w:pStyle w:val="berschrift5"/>
              <w:rPr>
                <w:lang w:val="en-US"/>
              </w:rPr>
            </w:pPr>
            <w:r w:rsidRPr="0037406F">
              <w:rPr>
                <w:b w:val="0"/>
                <w:lang w:val="en-US"/>
              </w:rPr>
              <w:t>The 12th Senate countered this: The handshake is deeply rooted in social, cultural and legal life and shapes the way people live together. This applies quite independently of which sexes stand opposite each other. A refusal on gender-specific grounds could not be reconciled with Article 3 of the Basic Law - equal rights for men and women.</w:t>
            </w:r>
            <w:r>
              <w:rPr>
                <w:lang w:val="en-US"/>
              </w:rPr>
              <w:t xml:space="preserve"> </w:t>
            </w:r>
            <w:r w:rsidR="004233F5" w:rsidRPr="004233F5">
              <w:rPr>
                <w:b w:val="0"/>
              </w:rPr>
              <w:t>[…]</w:t>
            </w:r>
          </w:p>
          <w:p w14:paraId="1A707CD7" w14:textId="77777777" w:rsidR="007030D8" w:rsidRPr="007030D8" w:rsidRDefault="007030D8" w:rsidP="007030D8">
            <w:pPr>
              <w:pStyle w:val="Textkrper"/>
              <w:rPr>
                <w:lang w:val="en-US"/>
              </w:rPr>
            </w:pPr>
          </w:p>
          <w:p w14:paraId="3D9251ED" w14:textId="4D96D5AC" w:rsidR="0037406F" w:rsidRPr="0037406F" w:rsidRDefault="0037406F" w:rsidP="0037406F">
            <w:pPr>
              <w:pStyle w:val="Listenabsatz"/>
              <w:numPr>
                <w:ilvl w:val="0"/>
                <w:numId w:val="32"/>
              </w:numPr>
              <w:shd w:val="clear" w:color="auto" w:fill="auto"/>
              <w:rPr>
                <w:lang w:val="en-US"/>
              </w:rPr>
            </w:pPr>
            <w:r w:rsidRPr="0037406F">
              <w:rPr>
                <w:lang w:val="en-US"/>
              </w:rPr>
              <w:t>Which cultural factors in the form of different perspectives, meanings and presuppositions, which value systems could play a role here?</w:t>
            </w:r>
          </w:p>
          <w:p w14:paraId="0655DC32" w14:textId="77777777" w:rsidR="0037406F" w:rsidRDefault="0037406F" w:rsidP="0037406F">
            <w:pPr>
              <w:pStyle w:val="Listenabsatz"/>
              <w:numPr>
                <w:ilvl w:val="0"/>
                <w:numId w:val="32"/>
              </w:numPr>
              <w:shd w:val="clear" w:color="auto" w:fill="auto"/>
              <w:rPr>
                <w:lang w:val="en-US"/>
              </w:rPr>
            </w:pPr>
            <w:r w:rsidRPr="0037406F">
              <w:rPr>
                <w:lang w:val="en-US"/>
              </w:rPr>
              <w:t>What other collective and group affiliations might have an influence? What do we not know about the people involved? How might the situation be resolved constructively?</w:t>
            </w:r>
          </w:p>
          <w:p w14:paraId="6FA8847E" w14:textId="77777777" w:rsidR="0037406F" w:rsidRDefault="0037406F" w:rsidP="0037406F">
            <w:pPr>
              <w:pStyle w:val="Listenabsatz"/>
              <w:numPr>
                <w:ilvl w:val="0"/>
                <w:numId w:val="32"/>
              </w:numPr>
              <w:shd w:val="clear" w:color="auto" w:fill="auto"/>
              <w:rPr>
                <w:lang w:val="en-US"/>
              </w:rPr>
            </w:pPr>
            <w:r w:rsidRPr="0037406F">
              <w:rPr>
                <w:lang w:val="en-US"/>
              </w:rPr>
              <w:t>What privileges and collective experiences are pre-distributed in the situation described and need to be taken into account?</w:t>
            </w:r>
          </w:p>
          <w:p w14:paraId="4148A9FE" w14:textId="77777777" w:rsidR="0037406F" w:rsidRDefault="0037406F" w:rsidP="0037406F">
            <w:pPr>
              <w:pStyle w:val="Listenabsatz"/>
              <w:shd w:val="clear" w:color="auto" w:fill="auto"/>
              <w:ind w:firstLine="0"/>
              <w:rPr>
                <w:lang w:val="en-US"/>
              </w:rPr>
            </w:pPr>
          </w:p>
          <w:p w14:paraId="37FCD714" w14:textId="7D76D656" w:rsidR="0037406F" w:rsidRPr="009870D2" w:rsidRDefault="0037406F" w:rsidP="0037406F">
            <w:pPr>
              <w:pStyle w:val="Listenabsatz"/>
              <w:shd w:val="clear" w:color="auto" w:fill="auto"/>
              <w:ind w:firstLine="0"/>
              <w:rPr>
                <w:sz w:val="20"/>
                <w:lang w:val="en-GB"/>
              </w:rPr>
            </w:pPr>
            <w:r w:rsidRPr="00800714">
              <w:rPr>
                <w:sz w:val="20"/>
              </w:rPr>
              <w:t>Source</w:t>
            </w:r>
            <w:r w:rsidR="007030D8" w:rsidRPr="00800714">
              <w:rPr>
                <w:sz w:val="20"/>
              </w:rPr>
              <w:t xml:space="preserve">: Zeit Online, 16. </w:t>
            </w:r>
            <w:r w:rsidR="007030D8" w:rsidRPr="009870D2">
              <w:rPr>
                <w:sz w:val="20"/>
                <w:lang w:val="en-GB"/>
              </w:rPr>
              <w:t>O</w:t>
            </w:r>
            <w:r w:rsidR="008D2C02" w:rsidRPr="009870D2">
              <w:rPr>
                <w:sz w:val="20"/>
                <w:lang w:val="en-GB"/>
              </w:rPr>
              <w:t>c</w:t>
            </w:r>
            <w:r w:rsidR="007030D8" w:rsidRPr="009870D2">
              <w:rPr>
                <w:sz w:val="20"/>
                <w:lang w:val="en-GB"/>
              </w:rPr>
              <w:t>tober 2020</w:t>
            </w:r>
          </w:p>
          <w:p w14:paraId="3C994092" w14:textId="34B055D8" w:rsidR="0037406F" w:rsidRPr="009870D2" w:rsidRDefault="00000000" w:rsidP="00D01AD0">
            <w:pPr>
              <w:pStyle w:val="Listenabsatz"/>
              <w:shd w:val="clear" w:color="auto" w:fill="auto"/>
              <w:spacing w:after="120"/>
              <w:ind w:firstLine="0"/>
              <w:rPr>
                <w:rStyle w:val="Hyperlink"/>
                <w:sz w:val="20"/>
                <w:lang w:val="en-GB"/>
              </w:rPr>
            </w:pPr>
            <w:hyperlink r:id="rId14" w:history="1">
              <w:r w:rsidR="007030D8" w:rsidRPr="009870D2">
                <w:rPr>
                  <w:rStyle w:val="Hyperlink"/>
                  <w:sz w:val="20"/>
                  <w:lang w:val="en-GB"/>
                </w:rPr>
                <w:t>https://www.zeit.de/news/2020-10/16/mann-lehnt-haendeschuetteln-mit-frauen-ab-keine-einbuergerung</w:t>
              </w:r>
            </w:hyperlink>
          </w:p>
          <w:p w14:paraId="61E84DD7" w14:textId="5E4EF2A2" w:rsidR="00651017" w:rsidRPr="00800714" w:rsidRDefault="0037406F" w:rsidP="0037406F">
            <w:pPr>
              <w:pStyle w:val="Listenabsatz"/>
              <w:shd w:val="clear" w:color="auto" w:fill="auto"/>
              <w:ind w:firstLine="0"/>
              <w:rPr>
                <w:lang w:val="en-GB"/>
              </w:rPr>
            </w:pPr>
            <w:r w:rsidRPr="0037406F">
              <w:rPr>
                <w:sz w:val="20"/>
                <w:lang w:val="en-US"/>
              </w:rPr>
              <w:t>Elaboration of the learning review: Andrea Voigt</w:t>
            </w:r>
          </w:p>
        </w:tc>
      </w:tr>
    </w:tbl>
    <w:p w14:paraId="76B13DFD" w14:textId="12416CC9" w:rsidR="005106AA" w:rsidRPr="0037406F" w:rsidRDefault="005106AA" w:rsidP="0037406F">
      <w:pPr>
        <w:rPr>
          <w:lang w:val="en-US"/>
        </w:rPr>
      </w:pPr>
    </w:p>
    <w:sectPr w:rsidR="005106AA" w:rsidRPr="0037406F" w:rsidSect="00D94F5F">
      <w:headerReference w:type="default" r:id="rId15"/>
      <w:pgSz w:w="11906" w:h="16838" w:code="9"/>
      <w:pgMar w:top="2268" w:right="851" w:bottom="851" w:left="1418"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CCD4" w14:textId="77777777" w:rsidR="00B6161B" w:rsidRDefault="00B6161B" w:rsidP="004D6D8C">
      <w:pPr>
        <w:spacing w:line="240" w:lineRule="auto"/>
      </w:pPr>
      <w:r>
        <w:separator/>
      </w:r>
    </w:p>
  </w:endnote>
  <w:endnote w:type="continuationSeparator" w:id="0">
    <w:p w14:paraId="59FEE24B" w14:textId="77777777" w:rsidR="00B6161B" w:rsidRDefault="00B6161B"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1794" w14:textId="77777777" w:rsidR="00800714" w:rsidRPr="00031533" w:rsidRDefault="00800714" w:rsidP="00800714">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031533">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800714">
      <w:rPr>
        <w:rStyle w:val="Seitenzahl"/>
        <w:b/>
        <w:bCs/>
        <w:color w:val="00BFF4"/>
        <w:sz w:val="18"/>
        <w:szCs w:val="18"/>
        <w:lang w:val="en-GB"/>
      </w:rPr>
      <w:t>1</w:t>
    </w:r>
    <w:r w:rsidRPr="0077317A">
      <w:rPr>
        <w:rStyle w:val="Seitenzahl"/>
        <w:b/>
        <w:bCs/>
        <w:color w:val="00BFF4"/>
        <w:sz w:val="18"/>
        <w:szCs w:val="18"/>
      </w:rPr>
      <w:fldChar w:fldCharType="end"/>
    </w:r>
  </w:p>
  <w:p w14:paraId="003C53D9" w14:textId="77777777" w:rsidR="00800714" w:rsidRPr="00031533" w:rsidRDefault="00800714" w:rsidP="00800714">
    <w:pPr>
      <w:pStyle w:val="Fuzeile"/>
      <w:ind w:right="360"/>
      <w:rPr>
        <w:color w:val="3364B3"/>
        <w:sz w:val="18"/>
        <w:szCs w:val="18"/>
        <w:lang w:val="en-US"/>
      </w:rPr>
    </w:pPr>
    <w:r w:rsidRPr="00781DE7">
      <w:rPr>
        <w:noProof/>
        <w:color w:val="3364B3"/>
        <w:sz w:val="18"/>
        <w:szCs w:val="18"/>
      </w:rPr>
      <w:drawing>
        <wp:anchor distT="0" distB="0" distL="114300" distR="114300" simplePos="0" relativeHeight="251666432" behindDoc="0" locked="0" layoutInCell="1" allowOverlap="1" wp14:anchorId="25695F76" wp14:editId="0334E816">
          <wp:simplePos x="0" y="0"/>
          <wp:positionH relativeFrom="column">
            <wp:posOffset>-781538</wp:posOffset>
          </wp:positionH>
          <wp:positionV relativeFrom="paragraph">
            <wp:posOffset>-63158</wp:posOffset>
          </wp:positionV>
          <wp:extent cx="500986" cy="390769"/>
          <wp:effectExtent l="0" t="0" r="0" b="0"/>
          <wp:wrapNone/>
          <wp:docPr id="1080384669" name="Grafik 1080384669" descr="Ein Bild, das Grafiken, 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fiken, 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Pr="00964216">
      <w:rPr>
        <w:color w:val="3364B3"/>
        <w:sz w:val="18"/>
        <w:szCs w:val="18"/>
        <w:lang w:val="en-US"/>
      </w:rPr>
      <w:t>InCom</w:t>
    </w:r>
    <w:r>
      <w:rPr>
        <w:color w:val="3364B3"/>
        <w:sz w:val="18"/>
        <w:szCs w:val="18"/>
        <w:lang w:val="en-US"/>
      </w:rPr>
      <w:t xml:space="preserve">  –  7.</w:t>
    </w:r>
    <w:r w:rsidRPr="00BE2723">
      <w:rPr>
        <w:color w:val="3364B3"/>
        <w:sz w:val="18"/>
        <w:szCs w:val="18"/>
        <w:lang w:val="en-US"/>
      </w:rPr>
      <w:t xml:space="preserve"> </w:t>
    </w:r>
    <w:r w:rsidRPr="00C53C92">
      <w:rPr>
        <w:color w:val="3364B3"/>
        <w:sz w:val="18"/>
        <w:szCs w:val="18"/>
        <w:lang w:val="en-US"/>
      </w:rPr>
      <w:t xml:space="preserve">Pulling the strings together: </w:t>
    </w:r>
    <w:r>
      <w:rPr>
        <w:color w:val="3364B3"/>
        <w:sz w:val="18"/>
        <w:szCs w:val="18"/>
        <w:lang w:val="en-US"/>
      </w:rPr>
      <w:br/>
    </w:r>
    <w:r w:rsidRPr="00C53C92">
      <w:rPr>
        <w:color w:val="3364B3"/>
        <w:sz w:val="18"/>
        <w:szCs w:val="18"/>
        <w:lang w:val="en-US"/>
      </w:rPr>
      <w:t>Analysing interpersonal encounters by applying a culture-reflexive approach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55E0" w14:textId="77777777" w:rsidR="00470BA6" w:rsidRDefault="00470B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9FFC1" w14:textId="77777777" w:rsidR="00B6161B" w:rsidRDefault="00B6161B" w:rsidP="004D6D8C">
      <w:pPr>
        <w:spacing w:line="240" w:lineRule="auto"/>
      </w:pPr>
      <w:r>
        <w:separator/>
      </w:r>
    </w:p>
  </w:footnote>
  <w:footnote w:type="continuationSeparator" w:id="0">
    <w:p w14:paraId="6D2B1055" w14:textId="77777777" w:rsidR="00B6161B" w:rsidRDefault="00B6161B"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6A864E39" w:rsidR="00EC795A" w:rsidRPr="00865EB7" w:rsidRDefault="0068727B" w:rsidP="00866BBB">
    <w:pPr>
      <w:pStyle w:val="Kopfzeile"/>
      <w:ind w:left="1191" w:right="1418" w:hanging="1191"/>
      <w:rPr>
        <w:b/>
        <w:bCs/>
        <w:color w:val="3364B3"/>
        <w:sz w:val="28"/>
        <w:szCs w:val="28"/>
        <w:lang w:val="en-US"/>
      </w:rPr>
    </w:pPr>
    <w:r w:rsidRPr="00866BBB">
      <w:rPr>
        <w:noProof/>
        <w:sz w:val="28"/>
        <w:szCs w:val="28"/>
      </w:rPr>
      <w:drawing>
        <wp:anchor distT="0" distB="0" distL="114300" distR="114300" simplePos="0" relativeHeight="251664384"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135496666" name="Grafik 113549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651017" w:rsidRPr="00865EB7">
      <w:rPr>
        <w:b/>
        <w:bCs/>
        <w:color w:val="3364B3"/>
        <w:sz w:val="28"/>
        <w:szCs w:val="28"/>
        <w:lang w:val="en-US"/>
      </w:rPr>
      <w:t>Learning Review</w:t>
    </w:r>
    <w:r w:rsidR="00C5044C" w:rsidRPr="00865EB7">
      <w:rPr>
        <w:b/>
        <w:bCs/>
        <w:color w:val="3364B3"/>
        <w:sz w:val="28"/>
        <w:szCs w:val="28"/>
        <w:lang w:val="en-US"/>
      </w:rPr>
      <w:t>:</w:t>
    </w:r>
    <w:r w:rsidR="00261CC4" w:rsidRPr="00865EB7">
      <w:rPr>
        <w:b/>
        <w:bCs/>
        <w:color w:val="3364B3"/>
        <w:sz w:val="28"/>
        <w:szCs w:val="28"/>
        <w:lang w:val="en-US"/>
      </w:rPr>
      <w:t xml:space="preserve"> </w:t>
    </w:r>
    <w:r w:rsidR="00470BA6">
      <w:rPr>
        <w:b/>
        <w:bCs/>
        <w:color w:val="3364B3"/>
        <w:sz w:val="28"/>
        <w:szCs w:val="28"/>
        <w:lang w:val="en-US"/>
      </w:rPr>
      <w:t xml:space="preserve">Case Study – </w:t>
    </w:r>
    <w:r w:rsidR="00865EB7">
      <w:rPr>
        <w:b/>
        <w:bCs/>
        <w:color w:val="3364B3"/>
        <w:sz w:val="28"/>
        <w:szCs w:val="28"/>
        <w:lang w:val="en-US"/>
      </w:rPr>
      <w:t xml:space="preserve">Denial of </w:t>
    </w:r>
    <w:r w:rsidR="00EB6F9D">
      <w:rPr>
        <w:b/>
        <w:bCs/>
        <w:color w:val="3364B3"/>
        <w:sz w:val="28"/>
        <w:szCs w:val="28"/>
        <w:lang w:val="en-US"/>
      </w:rPr>
      <w:t>n</w:t>
    </w:r>
    <w:r w:rsidR="00865EB7">
      <w:rPr>
        <w:b/>
        <w:bCs/>
        <w:color w:val="3364B3"/>
        <w:sz w:val="28"/>
        <w:szCs w:val="28"/>
        <w:lang w:val="en-US"/>
      </w:rPr>
      <w:t>aturali</w:t>
    </w:r>
    <w:r w:rsidR="00EE3B6C">
      <w:rPr>
        <w:b/>
        <w:bCs/>
        <w:color w:val="3364B3"/>
        <w:sz w:val="28"/>
        <w:szCs w:val="28"/>
        <w:lang w:val="en-US"/>
      </w:rPr>
      <w:t>s</w:t>
    </w:r>
    <w:r w:rsidR="00865EB7">
      <w:rPr>
        <w:b/>
        <w:bCs/>
        <w:color w:val="3364B3"/>
        <w:sz w:val="28"/>
        <w:szCs w:val="28"/>
        <w:lang w:val="en-US"/>
      </w:rPr>
      <w:t>ation</w:t>
    </w:r>
  </w:p>
  <w:p w14:paraId="5974ADFC" w14:textId="58EC9C72" w:rsidR="004D6D8C" w:rsidRPr="00865EB7" w:rsidRDefault="004D6D8C" w:rsidP="00866BBB">
    <w:pPr>
      <w:pStyle w:val="Kopfzeile"/>
      <w:ind w:left="1191" w:right="1418"/>
      <w:rPr>
        <w:b/>
        <w:bCs/>
        <w:color w:val="3364B3"/>
        <w:sz w:val="28"/>
        <w:szCs w:val="28"/>
        <w:lang w:val="en-US"/>
      </w:rPr>
    </w:pPr>
  </w:p>
  <w:p w14:paraId="67431AEA" w14:textId="77777777" w:rsidR="0095241B" w:rsidRPr="00865EB7" w:rsidRDefault="0095241B" w:rsidP="00E4580B">
    <w:pPr>
      <w:pStyle w:val="Kopfzeile"/>
      <w:pBdr>
        <w:bottom w:val="single" w:sz="4" w:space="1" w:color="006BB3"/>
      </w:pBdr>
      <w:rPr>
        <w:b/>
        <w:bCs/>
        <w:color w:val="3364B3"/>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0AA5" w14:textId="77777777" w:rsidR="00470BA6" w:rsidRDefault="00470BA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C518" w14:textId="77777777" w:rsidR="008D2C02" w:rsidRPr="005D15A0" w:rsidRDefault="008D2C02" w:rsidP="008D2C02">
    <w:pPr>
      <w:pStyle w:val="Kopfzeile"/>
      <w:ind w:left="1843" w:right="1418" w:hanging="1843"/>
      <w:rPr>
        <w:b/>
        <w:bCs/>
        <w:color w:val="3364B3"/>
        <w:sz w:val="28"/>
        <w:szCs w:val="28"/>
        <w:lang w:val="en-US"/>
      </w:rPr>
    </w:pPr>
    <w:r>
      <w:rPr>
        <w:b/>
        <w:bCs/>
        <w:noProof/>
        <w:color w:val="3364B3"/>
        <w:sz w:val="28"/>
        <w:szCs w:val="28"/>
      </w:rPr>
      <w:drawing>
        <wp:anchor distT="0" distB="0" distL="114300" distR="114300" simplePos="0" relativeHeight="251667456" behindDoc="0" locked="0" layoutInCell="1" allowOverlap="1" wp14:anchorId="4700CB2A" wp14:editId="047EE79F">
          <wp:simplePos x="0" y="0"/>
          <wp:positionH relativeFrom="margin">
            <wp:align>right</wp:align>
          </wp:positionH>
          <wp:positionV relativeFrom="paragraph">
            <wp:posOffset>-136525</wp:posOffset>
          </wp:positionV>
          <wp:extent cx="464400" cy="432000"/>
          <wp:effectExtent l="0" t="0" r="0" b="6350"/>
          <wp:wrapNone/>
          <wp:docPr id="4" name="Grafik 4"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5D15A0">
      <w:rPr>
        <w:b/>
        <w:bCs/>
        <w:color w:val="3364B3"/>
        <w:sz w:val="28"/>
        <w:szCs w:val="28"/>
        <w:lang w:val="en-US"/>
      </w:rPr>
      <w:t>Worksheet:</w:t>
    </w:r>
    <w:r>
      <w:rPr>
        <w:b/>
        <w:bCs/>
        <w:color w:val="3364B3"/>
        <w:sz w:val="28"/>
        <w:szCs w:val="28"/>
        <w:lang w:val="en-US"/>
      </w:rPr>
      <w:t xml:space="preserve"> Case study – Buying a camera</w:t>
    </w:r>
  </w:p>
  <w:p w14:paraId="3B3FFA91" w14:textId="77777777" w:rsidR="008D2C02" w:rsidRPr="005D15A0" w:rsidRDefault="008D2C02" w:rsidP="008D2C02">
    <w:pPr>
      <w:pStyle w:val="Kopfzeile"/>
      <w:spacing w:line="264" w:lineRule="auto"/>
      <w:ind w:left="3828" w:right="1418" w:hanging="1985"/>
      <w:rPr>
        <w:b/>
        <w:bCs/>
        <w:color w:val="3364B3"/>
        <w:sz w:val="16"/>
        <w:szCs w:val="16"/>
        <w:lang w:val="en-US"/>
      </w:rPr>
    </w:pPr>
  </w:p>
  <w:p w14:paraId="207C6624" w14:textId="77777777" w:rsidR="008D2C02" w:rsidRPr="005D15A0" w:rsidRDefault="008D2C02" w:rsidP="008D2C02">
    <w:pPr>
      <w:pStyle w:val="Kopfzeile"/>
      <w:pBdr>
        <w:bottom w:val="single" w:sz="4" w:space="1" w:color="006BB3"/>
      </w:pBdr>
      <w:spacing w:line="264" w:lineRule="auto"/>
      <w:rPr>
        <w:b/>
        <w:bCs/>
        <w:color w:val="3364B3"/>
        <w:sz w:val="2"/>
        <w:szCs w:val="2"/>
        <w:lang w:val="en-US"/>
      </w:rPr>
    </w:pPr>
  </w:p>
  <w:p w14:paraId="5F674845" w14:textId="77777777" w:rsidR="008D2C02" w:rsidRPr="00CD470F" w:rsidRDefault="008D2C02" w:rsidP="008D2C02">
    <w:pPr>
      <w:pStyle w:val="Kopfzeile"/>
      <w:spacing w:line="240" w:lineRule="auto"/>
      <w:rPr>
        <w:sz w:val="2"/>
        <w:lang w:val="en-GB"/>
      </w:rPr>
    </w:pPr>
  </w:p>
  <w:p w14:paraId="184C6D10" w14:textId="77777777" w:rsidR="008D2C02" w:rsidRPr="00CD470F" w:rsidRDefault="008D2C02" w:rsidP="008D2C02">
    <w:pPr>
      <w:pStyle w:val="Kopfzeile"/>
      <w:rPr>
        <w:sz w:val="2"/>
        <w:szCs w:val="2"/>
        <w:lang w:val="en-GB"/>
      </w:rPr>
    </w:pPr>
  </w:p>
  <w:p w14:paraId="3E2516AC" w14:textId="77777777" w:rsidR="003E370B" w:rsidRPr="008D2C02" w:rsidRDefault="003E370B" w:rsidP="008D2C02">
    <w:pPr>
      <w:pStyle w:val="Kopfzeile"/>
      <w:spacing w:after="20"/>
      <w:rPr>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75111093">
    <w:abstractNumId w:val="30"/>
  </w:num>
  <w:num w:numId="2" w16cid:durableId="1383596542">
    <w:abstractNumId w:val="34"/>
  </w:num>
  <w:num w:numId="3" w16cid:durableId="129251124">
    <w:abstractNumId w:val="20"/>
  </w:num>
  <w:num w:numId="4" w16cid:durableId="611404958">
    <w:abstractNumId w:val="7"/>
  </w:num>
  <w:num w:numId="5" w16cid:durableId="1474516553">
    <w:abstractNumId w:val="10"/>
  </w:num>
  <w:num w:numId="6" w16cid:durableId="914827700">
    <w:abstractNumId w:val="31"/>
  </w:num>
  <w:num w:numId="7" w16cid:durableId="1319383932">
    <w:abstractNumId w:val="19"/>
  </w:num>
  <w:num w:numId="8" w16cid:durableId="1378777730">
    <w:abstractNumId w:val="0"/>
  </w:num>
  <w:num w:numId="9" w16cid:durableId="120079972">
    <w:abstractNumId w:val="0"/>
  </w:num>
  <w:num w:numId="10" w16cid:durableId="1362168003">
    <w:abstractNumId w:val="31"/>
  </w:num>
  <w:num w:numId="11" w16cid:durableId="765731928">
    <w:abstractNumId w:val="8"/>
  </w:num>
  <w:num w:numId="12" w16cid:durableId="734940056">
    <w:abstractNumId w:val="24"/>
  </w:num>
  <w:num w:numId="13" w16cid:durableId="421608715">
    <w:abstractNumId w:val="33"/>
  </w:num>
  <w:num w:numId="14" w16cid:durableId="770660359">
    <w:abstractNumId w:val="25"/>
  </w:num>
  <w:num w:numId="15" w16cid:durableId="1322542264">
    <w:abstractNumId w:val="2"/>
  </w:num>
  <w:num w:numId="16" w16cid:durableId="321810883">
    <w:abstractNumId w:val="23"/>
  </w:num>
  <w:num w:numId="17" w16cid:durableId="896470945">
    <w:abstractNumId w:val="1"/>
  </w:num>
  <w:num w:numId="18" w16cid:durableId="639383897">
    <w:abstractNumId w:val="5"/>
  </w:num>
  <w:num w:numId="19" w16cid:durableId="2128348220">
    <w:abstractNumId w:val="28"/>
  </w:num>
  <w:num w:numId="20" w16cid:durableId="2014840740">
    <w:abstractNumId w:val="16"/>
  </w:num>
  <w:num w:numId="21" w16cid:durableId="355548295">
    <w:abstractNumId w:val="11"/>
  </w:num>
  <w:num w:numId="22" w16cid:durableId="1172840250">
    <w:abstractNumId w:val="6"/>
  </w:num>
  <w:num w:numId="23" w16cid:durableId="1337273289">
    <w:abstractNumId w:val="14"/>
  </w:num>
  <w:num w:numId="24" w16cid:durableId="1963725189">
    <w:abstractNumId w:val="32"/>
  </w:num>
  <w:num w:numId="25" w16cid:durableId="2001735861">
    <w:abstractNumId w:val="18"/>
  </w:num>
  <w:num w:numId="26" w16cid:durableId="1750694639">
    <w:abstractNumId w:val="21"/>
  </w:num>
  <w:num w:numId="27" w16cid:durableId="1031030843">
    <w:abstractNumId w:val="15"/>
  </w:num>
  <w:num w:numId="28" w16cid:durableId="1084452337">
    <w:abstractNumId w:val="26"/>
  </w:num>
  <w:num w:numId="29" w16cid:durableId="1415669006">
    <w:abstractNumId w:val="12"/>
  </w:num>
  <w:num w:numId="30" w16cid:durableId="897786316">
    <w:abstractNumId w:val="13"/>
  </w:num>
  <w:num w:numId="31" w16cid:durableId="1417432537">
    <w:abstractNumId w:val="29"/>
  </w:num>
  <w:num w:numId="32" w16cid:durableId="42950019">
    <w:abstractNumId w:val="27"/>
  </w:num>
  <w:num w:numId="33" w16cid:durableId="394624112">
    <w:abstractNumId w:val="9"/>
  </w:num>
  <w:num w:numId="34" w16cid:durableId="1685327594">
    <w:abstractNumId w:val="3"/>
  </w:num>
  <w:num w:numId="35" w16cid:durableId="224998858">
    <w:abstractNumId w:val="17"/>
  </w:num>
  <w:num w:numId="36" w16cid:durableId="1279995093">
    <w:abstractNumId w:val="22"/>
  </w:num>
  <w:num w:numId="37" w16cid:durableId="19281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024CE"/>
    <w:rsid w:val="000629E2"/>
    <w:rsid w:val="00071D8A"/>
    <w:rsid w:val="000813A9"/>
    <w:rsid w:val="000A0B81"/>
    <w:rsid w:val="000A3FA9"/>
    <w:rsid w:val="000B58EE"/>
    <w:rsid w:val="000D692D"/>
    <w:rsid w:val="00105AD5"/>
    <w:rsid w:val="0010792F"/>
    <w:rsid w:val="00136442"/>
    <w:rsid w:val="00155F8C"/>
    <w:rsid w:val="00172D16"/>
    <w:rsid w:val="001B039D"/>
    <w:rsid w:val="001D42C0"/>
    <w:rsid w:val="0020106A"/>
    <w:rsid w:val="00216F3E"/>
    <w:rsid w:val="00226FEB"/>
    <w:rsid w:val="00236B86"/>
    <w:rsid w:val="00251453"/>
    <w:rsid w:val="00251BC7"/>
    <w:rsid w:val="00261CC4"/>
    <w:rsid w:val="00265242"/>
    <w:rsid w:val="00277E2C"/>
    <w:rsid w:val="002959D5"/>
    <w:rsid w:val="002A4D87"/>
    <w:rsid w:val="002B57B4"/>
    <w:rsid w:val="002B7C37"/>
    <w:rsid w:val="0035188B"/>
    <w:rsid w:val="00357BC6"/>
    <w:rsid w:val="00362932"/>
    <w:rsid w:val="00373839"/>
    <w:rsid w:val="0037406F"/>
    <w:rsid w:val="00374902"/>
    <w:rsid w:val="003D504A"/>
    <w:rsid w:val="003E370B"/>
    <w:rsid w:val="004233F5"/>
    <w:rsid w:val="00431B15"/>
    <w:rsid w:val="00455258"/>
    <w:rsid w:val="00470BA6"/>
    <w:rsid w:val="00496CB8"/>
    <w:rsid w:val="004D6D8C"/>
    <w:rsid w:val="004E554F"/>
    <w:rsid w:val="005106AA"/>
    <w:rsid w:val="00512E0D"/>
    <w:rsid w:val="0051742E"/>
    <w:rsid w:val="00524E28"/>
    <w:rsid w:val="0054703D"/>
    <w:rsid w:val="005A2E99"/>
    <w:rsid w:val="005B7351"/>
    <w:rsid w:val="005D027B"/>
    <w:rsid w:val="005E4154"/>
    <w:rsid w:val="005F22F4"/>
    <w:rsid w:val="0060495F"/>
    <w:rsid w:val="00604C0A"/>
    <w:rsid w:val="00604FAC"/>
    <w:rsid w:val="00651017"/>
    <w:rsid w:val="006811BB"/>
    <w:rsid w:val="0068727B"/>
    <w:rsid w:val="006B55DC"/>
    <w:rsid w:val="006E28B2"/>
    <w:rsid w:val="006E43C3"/>
    <w:rsid w:val="007030D8"/>
    <w:rsid w:val="00704586"/>
    <w:rsid w:val="00715588"/>
    <w:rsid w:val="00744676"/>
    <w:rsid w:val="00762BBD"/>
    <w:rsid w:val="007655C9"/>
    <w:rsid w:val="0077317A"/>
    <w:rsid w:val="00781DE7"/>
    <w:rsid w:val="007B7F2A"/>
    <w:rsid w:val="007C009C"/>
    <w:rsid w:val="007F12B7"/>
    <w:rsid w:val="00800714"/>
    <w:rsid w:val="0082343C"/>
    <w:rsid w:val="00861889"/>
    <w:rsid w:val="00863ACE"/>
    <w:rsid w:val="00865EB7"/>
    <w:rsid w:val="00866BBB"/>
    <w:rsid w:val="008A29EC"/>
    <w:rsid w:val="008A5354"/>
    <w:rsid w:val="008A740D"/>
    <w:rsid w:val="008D2C02"/>
    <w:rsid w:val="008E4D72"/>
    <w:rsid w:val="0095241B"/>
    <w:rsid w:val="009870D2"/>
    <w:rsid w:val="00991123"/>
    <w:rsid w:val="00992A0F"/>
    <w:rsid w:val="00997037"/>
    <w:rsid w:val="009D34C3"/>
    <w:rsid w:val="00A153FF"/>
    <w:rsid w:val="00A452E8"/>
    <w:rsid w:val="00A77647"/>
    <w:rsid w:val="00A949EF"/>
    <w:rsid w:val="00AD09E3"/>
    <w:rsid w:val="00AE158D"/>
    <w:rsid w:val="00AE29EC"/>
    <w:rsid w:val="00B26FE7"/>
    <w:rsid w:val="00B27D8A"/>
    <w:rsid w:val="00B407AE"/>
    <w:rsid w:val="00B53279"/>
    <w:rsid w:val="00B6161B"/>
    <w:rsid w:val="00B96198"/>
    <w:rsid w:val="00BB44AD"/>
    <w:rsid w:val="00BD234F"/>
    <w:rsid w:val="00BE2723"/>
    <w:rsid w:val="00C246C7"/>
    <w:rsid w:val="00C42041"/>
    <w:rsid w:val="00C42F46"/>
    <w:rsid w:val="00C5044C"/>
    <w:rsid w:val="00C727F7"/>
    <w:rsid w:val="00C80715"/>
    <w:rsid w:val="00C85351"/>
    <w:rsid w:val="00C934A0"/>
    <w:rsid w:val="00CC4072"/>
    <w:rsid w:val="00CF288B"/>
    <w:rsid w:val="00D01AD0"/>
    <w:rsid w:val="00D37C28"/>
    <w:rsid w:val="00D73D0A"/>
    <w:rsid w:val="00D81DDB"/>
    <w:rsid w:val="00D87BFA"/>
    <w:rsid w:val="00D94F5F"/>
    <w:rsid w:val="00D96EC7"/>
    <w:rsid w:val="00DA0855"/>
    <w:rsid w:val="00DB6CA5"/>
    <w:rsid w:val="00E1604D"/>
    <w:rsid w:val="00E34140"/>
    <w:rsid w:val="00E4580B"/>
    <w:rsid w:val="00E54DEF"/>
    <w:rsid w:val="00E6291E"/>
    <w:rsid w:val="00E65B76"/>
    <w:rsid w:val="00E76EE5"/>
    <w:rsid w:val="00E901B9"/>
    <w:rsid w:val="00EB6F9D"/>
    <w:rsid w:val="00EC795A"/>
    <w:rsid w:val="00EC7A8C"/>
    <w:rsid w:val="00ED4A94"/>
    <w:rsid w:val="00EE3B6C"/>
    <w:rsid w:val="00F07143"/>
    <w:rsid w:val="00F370DC"/>
    <w:rsid w:val="00F42B3A"/>
    <w:rsid w:val="00F50D36"/>
    <w:rsid w:val="00F61381"/>
    <w:rsid w:val="00F64153"/>
    <w:rsid w:val="00F739E0"/>
    <w:rsid w:val="00F7491D"/>
    <w:rsid w:val="00FA7582"/>
    <w:rsid w:val="00FB026A"/>
    <w:rsid w:val="00FC0487"/>
    <w:rsid w:val="00FD15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1E8117BF-B51E-4691-B811-023EB63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362932"/>
    <w:rPr>
      <w:sz w:val="16"/>
      <w:szCs w:val="16"/>
    </w:rPr>
  </w:style>
  <w:style w:type="paragraph" w:styleId="Kommentartext">
    <w:name w:val="annotation text"/>
    <w:basedOn w:val="Standard"/>
    <w:link w:val="KommentartextZchn"/>
    <w:uiPriority w:val="99"/>
    <w:unhideWhenUsed/>
    <w:rsid w:val="00362932"/>
    <w:pPr>
      <w:spacing w:line="240" w:lineRule="auto"/>
    </w:pPr>
    <w:rPr>
      <w:sz w:val="20"/>
    </w:rPr>
  </w:style>
  <w:style w:type="character" w:customStyle="1" w:styleId="KommentartextZchn">
    <w:name w:val="Kommentartext Zchn"/>
    <w:basedOn w:val="Absatz-Standardschriftart"/>
    <w:link w:val="Kommentartext"/>
    <w:uiPriority w:val="99"/>
    <w:rsid w:val="00362932"/>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362932"/>
    <w:rPr>
      <w:b/>
      <w:bCs/>
    </w:rPr>
  </w:style>
  <w:style w:type="character" w:customStyle="1" w:styleId="KommentarthemaZchn">
    <w:name w:val="Kommentarthema Zchn"/>
    <w:basedOn w:val="KommentartextZchn"/>
    <w:link w:val="Kommentarthema"/>
    <w:uiPriority w:val="99"/>
    <w:semiHidden/>
    <w:rsid w:val="00362932"/>
    <w:rPr>
      <w:rFonts w:ascii="Arial" w:hAnsi="Arial" w:cs="Calibri"/>
      <w:b/>
      <w:bCs/>
      <w:kern w:val="20"/>
      <w:sz w:val="20"/>
      <w:szCs w:val="20"/>
      <w:shd w:val="clear" w:color="C0C0C0" w:fill="auto"/>
      <w:lang w:eastAsia="de-DE"/>
    </w:rPr>
  </w:style>
  <w:style w:type="paragraph" w:styleId="Sprechblasentext">
    <w:name w:val="Balloon Text"/>
    <w:basedOn w:val="Standard"/>
    <w:link w:val="SprechblasentextZchn"/>
    <w:uiPriority w:val="99"/>
    <w:semiHidden/>
    <w:unhideWhenUsed/>
    <w:rsid w:val="0036293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2932"/>
    <w:rPr>
      <w:rFonts w:ascii="Tahoma" w:hAnsi="Tahoma" w:cs="Tahoma"/>
      <w:kern w:val="20"/>
      <w:sz w:val="16"/>
      <w:szCs w:val="16"/>
      <w:shd w:val="clear" w:color="C0C0C0" w:fill="auto"/>
      <w:lang w:eastAsia="de-DE"/>
    </w:rPr>
  </w:style>
  <w:style w:type="character" w:styleId="Hyperlink">
    <w:name w:val="Hyperlink"/>
    <w:basedOn w:val="Absatz-Standardschriftart"/>
    <w:uiPriority w:val="99"/>
    <w:unhideWhenUsed/>
    <w:rsid w:val="00D87BFA"/>
    <w:rPr>
      <w:color w:val="0563C1" w:themeColor="hyperlink"/>
      <w:u w:val="single"/>
    </w:rPr>
  </w:style>
  <w:style w:type="character" w:styleId="NichtaufgelsteErwhnung">
    <w:name w:val="Unresolved Mention"/>
    <w:basedOn w:val="Absatz-Standardschriftart"/>
    <w:uiPriority w:val="99"/>
    <w:semiHidden/>
    <w:unhideWhenUsed/>
    <w:rsid w:val="00987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zeit.de/news/2020-10/16/mann-lehnt-haendeschuetteln-mit-frauen-ab-keine-einbuergerun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zeit.de/news/2020-10/16/mann-lehnt-haendeschuetteln-mit-frauen-ab-keine-einbuergerung?utm_referrer=https%3A%2F%2Fwww.google.de%2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Nazarkiewicz</dc:creator>
  <cp:lastModifiedBy>Holger Finke</cp:lastModifiedBy>
  <cp:revision>17</cp:revision>
  <cp:lastPrinted>2024-05-19T13:04:00Z</cp:lastPrinted>
  <dcterms:created xsi:type="dcterms:W3CDTF">2023-03-14T19:38:00Z</dcterms:created>
  <dcterms:modified xsi:type="dcterms:W3CDTF">2024-05-19T14:01:00Z</dcterms:modified>
</cp:coreProperties>
</file>