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BA79FE"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5729AB51" w:rsidR="00C5044C" w:rsidRPr="008D30D1" w:rsidRDefault="004165A1" w:rsidP="00F42B3A">
            <w:pPr>
              <w:shd w:val="clear" w:color="auto" w:fill="auto"/>
              <w:rPr>
                <w:lang w:val="en-GB"/>
              </w:rPr>
            </w:pPr>
            <w:r w:rsidRPr="004165A1">
              <w:rPr>
                <w:lang w:val="en-GB"/>
              </w:rPr>
              <w:t>Case study of an applicant avoiding eye contact in an interview</w:t>
            </w:r>
            <w:r w:rsidR="00240700" w:rsidRPr="00240700">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BA79FE"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5C3F4395" w14:textId="77777777" w:rsidR="004165A1" w:rsidRPr="004165A1" w:rsidRDefault="004165A1" w:rsidP="004165A1">
            <w:pPr>
              <w:pStyle w:val="Listenabsatz"/>
              <w:numPr>
                <w:ilvl w:val="0"/>
                <w:numId w:val="32"/>
              </w:numPr>
              <w:shd w:val="clear" w:color="auto" w:fill="auto"/>
              <w:rPr>
                <w:lang w:val="en-GB"/>
              </w:rPr>
            </w:pPr>
            <w:r w:rsidRPr="004165A1">
              <w:rPr>
                <w:lang w:val="en-GB"/>
              </w:rPr>
              <w:t>Reflecting on different knowledge and expectations</w:t>
            </w:r>
          </w:p>
          <w:p w14:paraId="5D66399E" w14:textId="451E102B" w:rsidR="00991123" w:rsidRPr="005D15A0" w:rsidRDefault="004165A1" w:rsidP="004165A1">
            <w:pPr>
              <w:pStyle w:val="Listenabsatz"/>
              <w:numPr>
                <w:ilvl w:val="0"/>
                <w:numId w:val="32"/>
              </w:numPr>
              <w:shd w:val="clear" w:color="auto" w:fill="auto"/>
              <w:rPr>
                <w:lang w:val="en-GB"/>
              </w:rPr>
            </w:pPr>
            <w:r w:rsidRPr="004165A1">
              <w:rPr>
                <w:lang w:val="en-GB"/>
              </w:rPr>
              <w:t>Reflection on the significance of implicit and explicit knowledge for situation analysis</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2C38F286" w:rsidR="00C5044C" w:rsidRPr="008D30D1" w:rsidRDefault="00240700" w:rsidP="00F42B3A">
            <w:pPr>
              <w:shd w:val="clear" w:color="auto" w:fill="auto"/>
              <w:rPr>
                <w:lang w:val="en-GB"/>
              </w:rPr>
            </w:pPr>
            <w:r>
              <w:rPr>
                <w:lang w:val="en-GB"/>
              </w:rPr>
              <w:t>Approx. 45-60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77777777" w:rsidR="005D15A0" w:rsidRPr="005D15A0" w:rsidRDefault="005D15A0" w:rsidP="005D15A0">
            <w:pPr>
              <w:shd w:val="clear" w:color="auto" w:fill="auto"/>
              <w:rPr>
                <w:lang w:val="en-GB"/>
              </w:rPr>
            </w:pPr>
            <w:r w:rsidRPr="005D15A0">
              <w:rPr>
                <w:lang w:val="en-GB"/>
              </w:rPr>
              <w:t>Culturally unspecific;</w:t>
            </w:r>
          </w:p>
          <w:p w14:paraId="2A877AA4" w14:textId="71B18CF3" w:rsidR="005D20A6" w:rsidRPr="008D30D1" w:rsidRDefault="005D15A0" w:rsidP="005D20A6">
            <w:pPr>
              <w:shd w:val="clear" w:color="auto" w:fill="auto"/>
              <w:rPr>
                <w:lang w:val="en-GB"/>
              </w:rPr>
            </w:pPr>
            <w:r w:rsidRPr="005D15A0">
              <w:rPr>
                <w:lang w:val="en-GB"/>
              </w:rPr>
              <w:t>Distributive/instructive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7F05ED61" w:rsidR="008A29EC" w:rsidRPr="005D15A0" w:rsidRDefault="005D15A0" w:rsidP="005D15A0">
            <w:pPr>
              <w:pStyle w:val="Listenabsatz"/>
              <w:numPr>
                <w:ilvl w:val="0"/>
                <w:numId w:val="32"/>
              </w:numPr>
              <w:shd w:val="clear" w:color="auto" w:fill="auto"/>
              <w:rPr>
                <w:lang w:val="en-GB"/>
              </w:rPr>
            </w:pPr>
            <w:r>
              <w:rPr>
                <w:lang w:val="en-GB"/>
              </w:rPr>
              <w:t>Case study</w:t>
            </w:r>
          </w:p>
        </w:tc>
      </w:tr>
      <w:tr w:rsidR="00744676" w:rsidRPr="00BA79FE"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7B030B3A" w14:textId="4444784C" w:rsidR="00240700" w:rsidRPr="00240700" w:rsidRDefault="00240700" w:rsidP="00240700">
            <w:pPr>
              <w:shd w:val="clear" w:color="auto" w:fill="auto"/>
              <w:rPr>
                <w:lang w:val="en-GB"/>
              </w:rPr>
            </w:pPr>
            <w:r>
              <w:rPr>
                <w:lang w:val="en-GB"/>
              </w:rPr>
              <w:t>T</w:t>
            </w:r>
            <w:r w:rsidRPr="00240700">
              <w:rPr>
                <w:lang w:val="en-GB"/>
              </w:rPr>
              <w:t>he trainer divides the participants into small groups. They discuss the case stud</w:t>
            </w:r>
            <w:r w:rsidR="00F74C72">
              <w:rPr>
                <w:lang w:val="en-GB"/>
              </w:rPr>
              <w:t>y</w:t>
            </w:r>
            <w:r w:rsidRPr="00240700">
              <w:rPr>
                <w:lang w:val="en-GB"/>
              </w:rPr>
              <w:t xml:space="preserve"> and answer the following guiding questions:</w:t>
            </w:r>
          </w:p>
          <w:p w14:paraId="685561F0" w14:textId="77777777" w:rsidR="004165A1" w:rsidRPr="004165A1" w:rsidRDefault="004165A1" w:rsidP="004165A1">
            <w:pPr>
              <w:pStyle w:val="Listenabsatz"/>
              <w:numPr>
                <w:ilvl w:val="0"/>
                <w:numId w:val="32"/>
              </w:numPr>
              <w:shd w:val="clear" w:color="auto" w:fill="auto"/>
              <w:rPr>
                <w:lang w:val="en-GB"/>
              </w:rPr>
            </w:pPr>
            <w:r w:rsidRPr="004165A1">
              <w:rPr>
                <w:lang w:val="en-GB"/>
              </w:rPr>
              <w:t xml:space="preserve">What implicit and explicit knowledge does the HR manager base the interview on? </w:t>
            </w:r>
          </w:p>
          <w:p w14:paraId="3175FC5F" w14:textId="4F47DAE4" w:rsidR="00240700" w:rsidRPr="00240700" w:rsidRDefault="004165A1" w:rsidP="004165A1">
            <w:pPr>
              <w:pStyle w:val="Listenabsatz"/>
              <w:numPr>
                <w:ilvl w:val="0"/>
                <w:numId w:val="32"/>
              </w:numPr>
              <w:shd w:val="clear" w:color="auto" w:fill="auto"/>
              <w:rPr>
                <w:lang w:val="en-GB"/>
              </w:rPr>
            </w:pPr>
            <w:r w:rsidRPr="004165A1">
              <w:rPr>
                <w:lang w:val="en-GB"/>
              </w:rPr>
              <w:t>What do you think might happen in a second interview in which the applicant's future manager participates in addition to the HR manager?</w:t>
            </w:r>
          </w:p>
          <w:p w14:paraId="1FF8A2B2" w14:textId="3D9ED2BA" w:rsidR="00226FEB" w:rsidRPr="008D30D1" w:rsidRDefault="00240700" w:rsidP="00F42B3A">
            <w:pPr>
              <w:shd w:val="clear" w:color="auto" w:fill="auto"/>
              <w:rPr>
                <w:lang w:val="en-GB"/>
              </w:rPr>
            </w:pPr>
            <w:r w:rsidRPr="00240700">
              <w:rPr>
                <w:lang w:val="en-GB"/>
              </w:rPr>
              <w:t>Evaluation in plenary: The participants present their results. The trainer moderates the presentation and summarises the core results</w:t>
            </w:r>
            <w:r w:rsidR="00226FEB" w:rsidRPr="00240700">
              <w:rPr>
                <w:lang w:val="en-GB"/>
              </w:rPr>
              <w:t>.</w:t>
            </w:r>
          </w:p>
        </w:tc>
      </w:tr>
      <w:tr w:rsidR="002A4D87" w:rsidRPr="008D30D1"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19A43F2B" w14:textId="4C56063C" w:rsidR="002A4D87" w:rsidRPr="008D30D1" w:rsidRDefault="00AD232F" w:rsidP="00F42B3A">
            <w:pPr>
              <w:shd w:val="clear" w:color="auto" w:fill="auto"/>
              <w:rPr>
                <w:lang w:val="en-GB"/>
              </w:rPr>
            </w:pPr>
            <w:r>
              <w:rPr>
                <w:lang w:val="en-GB"/>
              </w:rPr>
              <w:t>n/a</w:t>
            </w:r>
          </w:p>
        </w:tc>
      </w:tr>
      <w:tr w:rsidR="005D15A0" w:rsidRPr="008D30D1" w14:paraId="5B780941" w14:textId="77777777" w:rsidTr="00F50D36">
        <w:tc>
          <w:tcPr>
            <w:tcW w:w="2693" w:type="dxa"/>
          </w:tcPr>
          <w:p w14:paraId="6A4E9BC4" w14:textId="77777777" w:rsidR="005D15A0" w:rsidRPr="008D30D1" w:rsidRDefault="005D15A0" w:rsidP="005D15A0">
            <w:pPr>
              <w:pStyle w:val="berschrift2"/>
              <w:rPr>
                <w:b w:val="0"/>
                <w:bCs/>
                <w:lang w:val="en-GB"/>
              </w:rPr>
            </w:pPr>
            <w:r w:rsidRPr="008D30D1">
              <w:rPr>
                <w:lang w:val="en-GB"/>
              </w:rPr>
              <w:t>Source</w:t>
            </w: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752C8889" w:rsidR="005D15A0" w:rsidRPr="008D30D1" w:rsidRDefault="005D15A0" w:rsidP="005D15A0">
            <w:pPr>
              <w:shd w:val="clear" w:color="auto" w:fill="auto"/>
              <w:rPr>
                <w:lang w:val="en-GB"/>
              </w:rPr>
            </w:pPr>
            <w:r>
              <w:t>Annika Schmidt</w:t>
            </w:r>
            <w:r w:rsidR="00BA79FE">
              <w:t xml:space="preserve"> </w:t>
            </w:r>
            <w:r>
              <w:t>/ Andrea Voigt</w:t>
            </w:r>
          </w:p>
        </w:tc>
      </w:tr>
    </w:tbl>
    <w:p w14:paraId="0DB2B914" w14:textId="5C086AFC" w:rsidR="00E54DEF" w:rsidRPr="008D30D1" w:rsidRDefault="00E54DEF">
      <w:pPr>
        <w:rPr>
          <w:lang w:val="en-GB"/>
        </w:rPr>
      </w:pPr>
    </w:p>
    <w:p w14:paraId="49FD3A5C" w14:textId="77777777" w:rsidR="000B58EE" w:rsidRPr="008D30D1" w:rsidRDefault="000B58EE">
      <w:pPr>
        <w:rPr>
          <w:lang w:val="en-GB"/>
        </w:rPr>
      </w:pPr>
    </w:p>
    <w:p w14:paraId="22636018" w14:textId="77777777" w:rsidR="000B58EE" w:rsidRPr="008D30D1" w:rsidRDefault="000B58EE">
      <w:pPr>
        <w:shd w:val="clear" w:color="auto" w:fill="auto"/>
        <w:spacing w:after="160" w:line="259" w:lineRule="auto"/>
        <w:rPr>
          <w:lang w:val="en-GB"/>
        </w:rPr>
        <w:sectPr w:rsidR="000B58EE" w:rsidRPr="008D30D1" w:rsidSect="002E70DE">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4165A1" w14:paraId="27FF2C11" w14:textId="77777777" w:rsidTr="00EC7A8C">
        <w:tc>
          <w:tcPr>
            <w:tcW w:w="9639" w:type="dxa"/>
          </w:tcPr>
          <w:p w14:paraId="27589E04" w14:textId="4A539162" w:rsidR="00863ACE" w:rsidRPr="008D30D1" w:rsidRDefault="00240700" w:rsidP="00A949EF">
            <w:pPr>
              <w:pStyle w:val="berschrift5"/>
              <w:rPr>
                <w:lang w:val="en-GB"/>
              </w:rPr>
            </w:pPr>
            <w:r>
              <w:rPr>
                <w:lang w:val="en-GB"/>
              </w:rPr>
              <w:t xml:space="preserve">Case Study: </w:t>
            </w:r>
            <w:r w:rsidR="004165A1">
              <w:rPr>
                <w:lang w:val="en-GB"/>
              </w:rPr>
              <w:t>Eye contact</w:t>
            </w:r>
          </w:p>
          <w:p w14:paraId="01723640" w14:textId="77777777" w:rsidR="005D15A0" w:rsidRDefault="005D15A0" w:rsidP="005D15A0">
            <w:pPr>
              <w:shd w:val="clear" w:color="auto" w:fill="auto"/>
              <w:rPr>
                <w:lang w:val="en-GB"/>
              </w:rPr>
            </w:pPr>
          </w:p>
          <w:p w14:paraId="0FFC1F3E" w14:textId="695D9158" w:rsidR="00863ACE" w:rsidRDefault="004165A1" w:rsidP="00F74C72">
            <w:pPr>
              <w:shd w:val="clear" w:color="auto" w:fill="auto"/>
              <w:rPr>
                <w:lang w:val="en-GB"/>
              </w:rPr>
            </w:pPr>
            <w:r w:rsidRPr="004165A1">
              <w:rPr>
                <w:lang w:val="en-GB"/>
              </w:rPr>
              <w:t>The personnel manager is disappointed. The applicant for the advertised position seemed to have been perfect. High professional qualifications, voluntary commitment, and sufficient work experience. His references and letters of reference were also impeccable. But the interview did not go at all according to her expectations. Although he was able to answer all her questions satisfactorily, he showed little initiative and hardly asked her any questions, even after repeated requests. He also seemed to avoid her gaze. In response to her direct feedback that she was not sure if he really wanted the job, he assured her that it was his dream job. However, she remains sceptical</w:t>
            </w:r>
          </w:p>
          <w:p w14:paraId="40C7B255" w14:textId="77777777" w:rsidR="005D15A0" w:rsidRDefault="005D15A0" w:rsidP="005D15A0">
            <w:pPr>
              <w:shd w:val="clear" w:color="auto" w:fill="auto"/>
              <w:rPr>
                <w:lang w:val="en-GB"/>
              </w:rPr>
            </w:pPr>
          </w:p>
          <w:p w14:paraId="77B8B5E0" w14:textId="72FCF49B" w:rsidR="009C607C" w:rsidRDefault="009C607C" w:rsidP="009C607C">
            <w:pPr>
              <w:shd w:val="clear" w:color="auto" w:fill="auto"/>
              <w:rPr>
                <w:lang w:val="en-GB"/>
              </w:rPr>
            </w:pPr>
            <w:r w:rsidRPr="009C607C">
              <w:rPr>
                <w:lang w:val="en-GB"/>
              </w:rPr>
              <w:t>Read the case study and discuss the following questions:</w:t>
            </w:r>
          </w:p>
          <w:p w14:paraId="6D40C3FC" w14:textId="77777777" w:rsidR="004165A1" w:rsidRPr="009C607C" w:rsidRDefault="004165A1" w:rsidP="009C607C">
            <w:pPr>
              <w:shd w:val="clear" w:color="auto" w:fill="auto"/>
              <w:rPr>
                <w:lang w:val="en-GB"/>
              </w:rPr>
            </w:pPr>
          </w:p>
          <w:p w14:paraId="28EF11C5" w14:textId="5FAA4FD4" w:rsidR="007255EF" w:rsidRPr="004165A1" w:rsidRDefault="004165A1" w:rsidP="004165A1">
            <w:pPr>
              <w:pStyle w:val="Listenabsatz"/>
              <w:numPr>
                <w:ilvl w:val="0"/>
                <w:numId w:val="39"/>
              </w:numPr>
              <w:shd w:val="clear" w:color="auto" w:fill="auto"/>
            </w:pPr>
            <w:r w:rsidRPr="00AD232F">
              <w:rPr>
                <w:lang w:val="en-US"/>
              </w:rPr>
              <w:t xml:space="preserve">What implicit and explicit knowledge does the HR manager base the interview on? </w:t>
            </w:r>
            <w:proofErr w:type="spellStart"/>
            <w:r w:rsidRPr="004165A1">
              <w:t>Give</w:t>
            </w:r>
            <w:proofErr w:type="spellEnd"/>
            <w:r w:rsidRPr="004165A1">
              <w:t xml:space="preserve"> </w:t>
            </w:r>
            <w:proofErr w:type="spellStart"/>
            <w:r w:rsidRPr="004165A1">
              <w:t>reasons</w:t>
            </w:r>
            <w:proofErr w:type="spellEnd"/>
            <w:r w:rsidRPr="004165A1">
              <w:t xml:space="preserve"> </w:t>
            </w:r>
            <w:proofErr w:type="spellStart"/>
            <w:r w:rsidRPr="004165A1">
              <w:t>for</w:t>
            </w:r>
            <w:proofErr w:type="spellEnd"/>
            <w:r w:rsidRPr="004165A1">
              <w:t xml:space="preserve"> </w:t>
            </w:r>
            <w:proofErr w:type="spellStart"/>
            <w:r w:rsidRPr="004165A1">
              <w:t>your</w:t>
            </w:r>
            <w:proofErr w:type="spellEnd"/>
            <w:r w:rsidRPr="004165A1">
              <w:t xml:space="preserve"> answer</w:t>
            </w:r>
            <w:r w:rsidR="007255EF" w:rsidRPr="004165A1">
              <w:t>.</w:t>
            </w:r>
          </w:p>
          <w:p w14:paraId="35257090" w14:textId="77777777" w:rsidR="004165A1" w:rsidRDefault="004165A1" w:rsidP="004165A1">
            <w:pPr>
              <w:shd w:val="clear" w:color="auto" w:fill="auto"/>
              <w:rPr>
                <w:lang w:val="en-GB"/>
              </w:rPr>
            </w:pPr>
          </w:p>
          <w:p w14:paraId="23C5657D" w14:textId="68AB871E" w:rsidR="004165A1" w:rsidRDefault="004165A1" w:rsidP="004165A1">
            <w:pPr>
              <w:shd w:val="clear" w:color="auto" w:fill="auto"/>
              <w:rPr>
                <w:lang w:val="en-GB"/>
              </w:rPr>
            </w:pPr>
            <w:r w:rsidRPr="004165A1">
              <w:rPr>
                <w:lang w:val="en-GB"/>
              </w:rPr>
              <w:t>The HR manager decides to invite the applicant to a second interview, at which she and the applicant's future manager are to be present</w:t>
            </w:r>
            <w:r>
              <w:rPr>
                <w:lang w:val="en-GB"/>
              </w:rPr>
              <w:t>.</w:t>
            </w:r>
          </w:p>
          <w:p w14:paraId="176B6B62" w14:textId="77777777" w:rsidR="004165A1" w:rsidRPr="004165A1" w:rsidRDefault="004165A1" w:rsidP="004165A1">
            <w:pPr>
              <w:shd w:val="clear" w:color="auto" w:fill="auto"/>
              <w:rPr>
                <w:lang w:val="en-GB"/>
              </w:rPr>
            </w:pPr>
          </w:p>
          <w:p w14:paraId="0F2B87E2" w14:textId="17D5E830" w:rsidR="00F74C72" w:rsidRDefault="004165A1" w:rsidP="007255EF">
            <w:pPr>
              <w:numPr>
                <w:ilvl w:val="0"/>
                <w:numId w:val="38"/>
              </w:numPr>
              <w:shd w:val="clear" w:color="auto" w:fill="auto"/>
              <w:rPr>
                <w:lang w:val="en-GB"/>
              </w:rPr>
            </w:pPr>
            <w:r w:rsidRPr="004165A1">
              <w:rPr>
                <w:lang w:val="en-GB"/>
              </w:rPr>
              <w:t xml:space="preserve">How do you think this second </w:t>
            </w:r>
            <w:r>
              <w:rPr>
                <w:lang w:val="en-GB"/>
              </w:rPr>
              <w:t>interview</w:t>
            </w:r>
            <w:r w:rsidRPr="004165A1">
              <w:rPr>
                <w:lang w:val="en-GB"/>
              </w:rPr>
              <w:t xml:space="preserve"> might go? Give reasons for your answer</w:t>
            </w:r>
            <w:r w:rsidR="007255EF">
              <w:rPr>
                <w:lang w:val="en-GB"/>
              </w:rPr>
              <w:t>.</w:t>
            </w:r>
          </w:p>
          <w:p w14:paraId="61E84DD7" w14:textId="2EE71AD4" w:rsidR="002B57B4" w:rsidRPr="004165A1" w:rsidRDefault="00E56D11" w:rsidP="002B7C37">
            <w:pPr>
              <w:shd w:val="clear" w:color="auto" w:fill="auto"/>
              <w:spacing w:before="240"/>
              <w:ind w:left="882" w:hanging="882"/>
              <w:rPr>
                <w:sz w:val="20"/>
              </w:rPr>
            </w:pPr>
            <w:r w:rsidRPr="004165A1">
              <w:rPr>
                <w:sz w:val="20"/>
              </w:rPr>
              <w:t>Source</w:t>
            </w:r>
            <w:r w:rsidR="002B57B4" w:rsidRPr="004165A1">
              <w:rPr>
                <w:sz w:val="20"/>
              </w:rPr>
              <w:t>:</w:t>
            </w:r>
            <w:r w:rsidR="00D94F5F" w:rsidRPr="004165A1">
              <w:rPr>
                <w:sz w:val="20"/>
              </w:rPr>
              <w:tab/>
            </w:r>
            <w:r w:rsidR="004165A1" w:rsidRPr="004165A1">
              <w:rPr>
                <w:sz w:val="20"/>
              </w:rPr>
              <w:t xml:space="preserve">Annika Schmidt in </w:t>
            </w:r>
            <w:proofErr w:type="spellStart"/>
            <w:r w:rsidR="004165A1" w:rsidRPr="004165A1">
              <w:rPr>
                <w:sz w:val="20"/>
              </w:rPr>
              <w:t>reference</w:t>
            </w:r>
            <w:proofErr w:type="spellEnd"/>
            <w:r w:rsidR="004165A1" w:rsidRPr="004165A1">
              <w:rPr>
                <w:sz w:val="20"/>
              </w:rPr>
              <w:t xml:space="preserve"> </w:t>
            </w:r>
            <w:proofErr w:type="spellStart"/>
            <w:r w:rsidR="004165A1" w:rsidRPr="004165A1">
              <w:rPr>
                <w:sz w:val="20"/>
              </w:rPr>
              <w:t>to</w:t>
            </w:r>
            <w:proofErr w:type="spellEnd"/>
            <w:r w:rsidR="004165A1" w:rsidRPr="004165A1">
              <w:rPr>
                <w:sz w:val="20"/>
              </w:rPr>
              <w:t xml:space="preserve"> IQ Fachstelle Interkulturelle Kompetenzentwicklung und Antidiskriminierung (</w:t>
            </w:r>
            <w:proofErr w:type="spellStart"/>
            <w:r w:rsidR="004165A1" w:rsidRPr="004165A1">
              <w:rPr>
                <w:sz w:val="20"/>
              </w:rPr>
              <w:t>ed</w:t>
            </w:r>
            <w:proofErr w:type="spellEnd"/>
            <w:r w:rsidR="004165A1" w:rsidRPr="004165A1">
              <w:rPr>
                <w:sz w:val="20"/>
              </w:rPr>
              <w:t>.), Andrea Voigt, Erfolgreiche Integration von internationalen Fachkräften in KMU, Munich, 2021</w:t>
            </w:r>
          </w:p>
        </w:tc>
      </w:tr>
    </w:tbl>
    <w:p w14:paraId="76B13DFD" w14:textId="432B45DD" w:rsidR="00E901B9" w:rsidRDefault="00E901B9"/>
    <w:p w14:paraId="3038697F" w14:textId="3D19F5F7" w:rsidR="00E65B76" w:rsidRPr="008D30D1" w:rsidRDefault="00E65B76" w:rsidP="00E65B76">
      <w:pPr>
        <w:tabs>
          <w:tab w:val="left" w:pos="3918"/>
        </w:tabs>
        <w:rPr>
          <w:lang w:val="en-GB"/>
        </w:rPr>
      </w:pPr>
    </w:p>
    <w:sectPr w:rsidR="00E65B76" w:rsidRPr="008D30D1" w:rsidSect="002E70DE">
      <w:headerReference w:type="default" r:id="rId11"/>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9D66" w14:textId="77777777" w:rsidR="002E70DE" w:rsidRDefault="002E70DE" w:rsidP="004D6D8C">
      <w:pPr>
        <w:spacing w:line="240" w:lineRule="auto"/>
      </w:pPr>
      <w:r>
        <w:separator/>
      </w:r>
    </w:p>
  </w:endnote>
  <w:endnote w:type="continuationSeparator" w:id="0">
    <w:p w14:paraId="374C31C5" w14:textId="77777777" w:rsidR="002E70DE" w:rsidRDefault="002E70DE"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00AD232F">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63E71AFF" w:rsidR="004D6D8C" w:rsidRPr="005D15A0" w:rsidRDefault="00781DE7" w:rsidP="0077317A">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7216" behindDoc="0" locked="0" layoutInCell="1" allowOverlap="1" wp14:anchorId="06922EC0" wp14:editId="74788889">
          <wp:simplePos x="0" y="0"/>
          <wp:positionH relativeFrom="column">
            <wp:posOffset>-781538</wp:posOffset>
          </wp:positionH>
          <wp:positionV relativeFrom="paragraph">
            <wp:posOffset>-63158</wp:posOffset>
          </wp:positionV>
          <wp:extent cx="500986" cy="390769"/>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4165A1" w:rsidRPr="00964216">
      <w:rPr>
        <w:color w:val="3364B3"/>
        <w:sz w:val="18"/>
        <w:szCs w:val="18"/>
        <w:lang w:val="en-US"/>
      </w:rPr>
      <w:t>InCom</w:t>
    </w:r>
    <w:proofErr w:type="spellEnd"/>
    <w:r w:rsidR="00BA79FE">
      <w:rPr>
        <w:color w:val="3364B3"/>
        <w:sz w:val="18"/>
        <w:szCs w:val="18"/>
        <w:lang w:val="en-US"/>
      </w:rPr>
      <w:t xml:space="preserve">  –</w:t>
    </w:r>
    <w:proofErr w:type="gramEnd"/>
    <w:r w:rsidR="00BA79FE">
      <w:rPr>
        <w:color w:val="3364B3"/>
        <w:sz w:val="18"/>
        <w:szCs w:val="18"/>
        <w:lang w:val="en-US"/>
      </w:rPr>
      <w:t xml:space="preserve">  </w:t>
    </w:r>
    <w:r w:rsidR="004165A1" w:rsidRPr="00EB3973">
      <w:rPr>
        <w:color w:val="3364B3"/>
        <w:sz w:val="18"/>
        <w:szCs w:val="18"/>
        <w:lang w:val="en-US"/>
      </w:rPr>
      <w:t>3. The characteristics of culture, an individual perspective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F935" w14:textId="77777777" w:rsidR="002E70DE" w:rsidRDefault="002E70DE" w:rsidP="004D6D8C">
      <w:pPr>
        <w:spacing w:line="240" w:lineRule="auto"/>
      </w:pPr>
      <w:r>
        <w:separator/>
      </w:r>
    </w:p>
  </w:footnote>
  <w:footnote w:type="continuationSeparator" w:id="0">
    <w:p w14:paraId="7CE9152E" w14:textId="77777777" w:rsidR="002E70DE" w:rsidRDefault="002E70DE"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3DC17E6A"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165A1">
      <w:rPr>
        <w:rStyle w:val="Seitenzahl"/>
        <w:noProof/>
      </w:rPr>
      <w:t>1</w: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550F3415" w:rsidR="00EC795A" w:rsidRPr="005D15A0" w:rsidRDefault="0068727B" w:rsidP="005D15A0">
    <w:pPr>
      <w:pStyle w:val="Kopfzeile"/>
      <w:ind w:left="1191" w:right="1418" w:hanging="1191"/>
      <w:rPr>
        <w:b/>
        <w:bCs/>
        <w:color w:val="3364B3"/>
        <w:sz w:val="28"/>
        <w:szCs w:val="28"/>
        <w:lang w:val="en-US"/>
      </w:rPr>
    </w:pPr>
    <w:r w:rsidRPr="008D30D1">
      <w:rPr>
        <w:noProof/>
        <w:sz w:val="28"/>
        <w:szCs w:val="28"/>
      </w:rPr>
      <w:drawing>
        <wp:anchor distT="0" distB="0" distL="114300" distR="114300" simplePos="0" relativeHeight="251656192" behindDoc="0" locked="0" layoutInCell="1" allowOverlap="1" wp14:anchorId="0C53FEE8" wp14:editId="3D049944">
          <wp:simplePos x="0" y="0"/>
          <wp:positionH relativeFrom="margin">
            <wp:align>right</wp:align>
          </wp:positionH>
          <wp:positionV relativeFrom="paragraph">
            <wp:posOffset>-137375</wp:posOffset>
          </wp:positionV>
          <wp:extent cx="342000" cy="432000"/>
          <wp:effectExtent l="0" t="0" r="127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59264" behindDoc="0" locked="0" layoutInCell="1" allowOverlap="1" wp14:anchorId="42F1D08C" wp14:editId="579773A7">
          <wp:simplePos x="0" y="0"/>
          <wp:positionH relativeFrom="margin">
            <wp:align>right</wp:align>
          </wp:positionH>
          <wp:positionV relativeFrom="paragraph">
            <wp:posOffset>-137375</wp:posOffset>
          </wp:positionV>
          <wp:extent cx="342000" cy="4320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240700">
      <w:rPr>
        <w:b/>
        <w:bCs/>
        <w:color w:val="3364B3"/>
        <w:sz w:val="28"/>
        <w:szCs w:val="28"/>
        <w:lang w:val="en-US"/>
      </w:rPr>
      <w:t xml:space="preserve">Case Study: </w:t>
    </w:r>
    <w:r w:rsidR="004165A1">
      <w:rPr>
        <w:b/>
        <w:bCs/>
        <w:color w:val="3364B3"/>
        <w:sz w:val="28"/>
        <w:szCs w:val="28"/>
        <w:lang w:val="en-US"/>
      </w:rPr>
      <w:t>Eye contact</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31F2E35E" w:rsidR="002B7C37" w:rsidRPr="005D15A0" w:rsidRDefault="000D692D" w:rsidP="00C246C7">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58240" behindDoc="0" locked="0" layoutInCell="1" allowOverlap="1" wp14:anchorId="408428A0" wp14:editId="4F1AF0D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BA79FE">
      <w:rPr>
        <w:b/>
        <w:bCs/>
        <w:color w:val="3364B3"/>
        <w:sz w:val="28"/>
        <w:szCs w:val="28"/>
        <w:lang w:val="en-US"/>
      </w:rPr>
      <w:t xml:space="preserve"> </w:t>
    </w:r>
    <w:r w:rsidR="00240700">
      <w:rPr>
        <w:b/>
        <w:bCs/>
        <w:color w:val="3364B3"/>
        <w:sz w:val="28"/>
        <w:szCs w:val="28"/>
        <w:lang w:val="en-US"/>
      </w:rPr>
      <w:t>Case Study</w:t>
    </w:r>
    <w:r w:rsidR="005D15A0" w:rsidRPr="005D15A0">
      <w:rPr>
        <w:b/>
        <w:bCs/>
        <w:color w:val="3364B3"/>
        <w:sz w:val="28"/>
        <w:szCs w:val="28"/>
        <w:lang w:val="en-US"/>
      </w:rPr>
      <w:t xml:space="preserve"> – </w:t>
    </w:r>
    <w:r w:rsidR="004165A1">
      <w:rPr>
        <w:b/>
        <w:bCs/>
        <w:color w:val="3364B3"/>
        <w:sz w:val="28"/>
        <w:szCs w:val="28"/>
        <w:lang w:val="en-US"/>
      </w:rPr>
      <w:t>Eye contact</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3DB329F6"/>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7"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62C29AF"/>
    <w:multiLevelType w:val="multilevel"/>
    <w:tmpl w:val="8D86C190"/>
    <w:numStyleLink w:val="Aufzhlung2"/>
  </w:abstractNum>
  <w:abstractNum w:abstractNumId="31"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3"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CE0075"/>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5"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6"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81061481">
    <w:abstractNumId w:val="31"/>
  </w:num>
  <w:num w:numId="2" w16cid:durableId="260799491">
    <w:abstractNumId w:val="36"/>
  </w:num>
  <w:num w:numId="3" w16cid:durableId="488835165">
    <w:abstractNumId w:val="20"/>
  </w:num>
  <w:num w:numId="4" w16cid:durableId="1199513879">
    <w:abstractNumId w:val="7"/>
  </w:num>
  <w:num w:numId="5" w16cid:durableId="1476413285">
    <w:abstractNumId w:val="10"/>
  </w:num>
  <w:num w:numId="6" w16cid:durableId="245499157">
    <w:abstractNumId w:val="32"/>
  </w:num>
  <w:num w:numId="7" w16cid:durableId="227962082">
    <w:abstractNumId w:val="19"/>
  </w:num>
  <w:num w:numId="8" w16cid:durableId="1869828304">
    <w:abstractNumId w:val="0"/>
  </w:num>
  <w:num w:numId="9" w16cid:durableId="1900893718">
    <w:abstractNumId w:val="0"/>
  </w:num>
  <w:num w:numId="10" w16cid:durableId="2034645325">
    <w:abstractNumId w:val="32"/>
  </w:num>
  <w:num w:numId="11" w16cid:durableId="497812419">
    <w:abstractNumId w:val="8"/>
  </w:num>
  <w:num w:numId="12" w16cid:durableId="1210843930">
    <w:abstractNumId w:val="25"/>
  </w:num>
  <w:num w:numId="13" w16cid:durableId="1793665382">
    <w:abstractNumId w:val="35"/>
  </w:num>
  <w:num w:numId="14" w16cid:durableId="383993306">
    <w:abstractNumId w:val="26"/>
  </w:num>
  <w:num w:numId="15" w16cid:durableId="1204906672">
    <w:abstractNumId w:val="2"/>
  </w:num>
  <w:num w:numId="16" w16cid:durableId="337083027">
    <w:abstractNumId w:val="23"/>
  </w:num>
  <w:num w:numId="17" w16cid:durableId="1280918130">
    <w:abstractNumId w:val="1"/>
  </w:num>
  <w:num w:numId="18" w16cid:durableId="1142964578">
    <w:abstractNumId w:val="5"/>
  </w:num>
  <w:num w:numId="19" w16cid:durableId="163864409">
    <w:abstractNumId w:val="29"/>
  </w:num>
  <w:num w:numId="20" w16cid:durableId="567038964">
    <w:abstractNumId w:val="16"/>
  </w:num>
  <w:num w:numId="21" w16cid:durableId="367145057">
    <w:abstractNumId w:val="11"/>
  </w:num>
  <w:num w:numId="22" w16cid:durableId="1202942272">
    <w:abstractNumId w:val="6"/>
  </w:num>
  <w:num w:numId="23" w16cid:durableId="1741517691">
    <w:abstractNumId w:val="14"/>
  </w:num>
  <w:num w:numId="24" w16cid:durableId="611939627">
    <w:abstractNumId w:val="33"/>
  </w:num>
  <w:num w:numId="25" w16cid:durableId="27486962">
    <w:abstractNumId w:val="18"/>
  </w:num>
  <w:num w:numId="26" w16cid:durableId="1371030559">
    <w:abstractNumId w:val="21"/>
  </w:num>
  <w:num w:numId="27" w16cid:durableId="1578707288">
    <w:abstractNumId w:val="15"/>
  </w:num>
  <w:num w:numId="28" w16cid:durableId="1129317598">
    <w:abstractNumId w:val="27"/>
  </w:num>
  <w:num w:numId="29" w16cid:durableId="56786333">
    <w:abstractNumId w:val="12"/>
  </w:num>
  <w:num w:numId="30" w16cid:durableId="482544947">
    <w:abstractNumId w:val="13"/>
  </w:num>
  <w:num w:numId="31" w16cid:durableId="1968732973">
    <w:abstractNumId w:val="30"/>
  </w:num>
  <w:num w:numId="32" w16cid:durableId="7603669">
    <w:abstractNumId w:val="28"/>
  </w:num>
  <w:num w:numId="33" w16cid:durableId="829713736">
    <w:abstractNumId w:val="9"/>
  </w:num>
  <w:num w:numId="34" w16cid:durableId="2013727117">
    <w:abstractNumId w:val="3"/>
  </w:num>
  <w:num w:numId="35" w16cid:durableId="282539354">
    <w:abstractNumId w:val="17"/>
  </w:num>
  <w:num w:numId="36" w16cid:durableId="1245922194">
    <w:abstractNumId w:val="22"/>
  </w:num>
  <w:num w:numId="37" w16cid:durableId="1029067101">
    <w:abstractNumId w:val="4"/>
  </w:num>
  <w:num w:numId="38" w16cid:durableId="217203766">
    <w:abstractNumId w:val="24"/>
  </w:num>
  <w:num w:numId="39" w16cid:durableId="14756392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130773"/>
    <w:rsid w:val="00136442"/>
    <w:rsid w:val="0015341F"/>
    <w:rsid w:val="00155F8C"/>
    <w:rsid w:val="0016657B"/>
    <w:rsid w:val="0020106A"/>
    <w:rsid w:val="00216F3E"/>
    <w:rsid w:val="00226FEB"/>
    <w:rsid w:val="00236B86"/>
    <w:rsid w:val="00240700"/>
    <w:rsid w:val="00251453"/>
    <w:rsid w:val="00251BC7"/>
    <w:rsid w:val="002959D5"/>
    <w:rsid w:val="002A4D87"/>
    <w:rsid w:val="002B57B4"/>
    <w:rsid w:val="002B7C37"/>
    <w:rsid w:val="002E70DE"/>
    <w:rsid w:val="003900E4"/>
    <w:rsid w:val="003B44D5"/>
    <w:rsid w:val="003E370B"/>
    <w:rsid w:val="003F7440"/>
    <w:rsid w:val="004165A1"/>
    <w:rsid w:val="00431B15"/>
    <w:rsid w:val="004D6D8C"/>
    <w:rsid w:val="005B5AA0"/>
    <w:rsid w:val="005B7351"/>
    <w:rsid w:val="005C6FBF"/>
    <w:rsid w:val="005D027B"/>
    <w:rsid w:val="005D15A0"/>
    <w:rsid w:val="005D20A6"/>
    <w:rsid w:val="005F22F4"/>
    <w:rsid w:val="0060495F"/>
    <w:rsid w:val="00661E71"/>
    <w:rsid w:val="006811BB"/>
    <w:rsid w:val="0068727B"/>
    <w:rsid w:val="006D7621"/>
    <w:rsid w:val="00704586"/>
    <w:rsid w:val="00715588"/>
    <w:rsid w:val="007255EF"/>
    <w:rsid w:val="00744676"/>
    <w:rsid w:val="0077317A"/>
    <w:rsid w:val="00781DE7"/>
    <w:rsid w:val="007B7F2A"/>
    <w:rsid w:val="007E02B6"/>
    <w:rsid w:val="007F12B7"/>
    <w:rsid w:val="00863ACE"/>
    <w:rsid w:val="00866BBB"/>
    <w:rsid w:val="0089751B"/>
    <w:rsid w:val="008A29EC"/>
    <w:rsid w:val="008A740D"/>
    <w:rsid w:val="008D30D1"/>
    <w:rsid w:val="008F445A"/>
    <w:rsid w:val="0095241B"/>
    <w:rsid w:val="00991123"/>
    <w:rsid w:val="00992A0F"/>
    <w:rsid w:val="00997037"/>
    <w:rsid w:val="009C607C"/>
    <w:rsid w:val="00A66EBA"/>
    <w:rsid w:val="00A76320"/>
    <w:rsid w:val="00A87365"/>
    <w:rsid w:val="00A949EF"/>
    <w:rsid w:val="00AD09E3"/>
    <w:rsid w:val="00AD232F"/>
    <w:rsid w:val="00AE158D"/>
    <w:rsid w:val="00B96198"/>
    <w:rsid w:val="00BA79FE"/>
    <w:rsid w:val="00C1027A"/>
    <w:rsid w:val="00C246C7"/>
    <w:rsid w:val="00C5044C"/>
    <w:rsid w:val="00C727F7"/>
    <w:rsid w:val="00C85351"/>
    <w:rsid w:val="00C934A0"/>
    <w:rsid w:val="00CC4072"/>
    <w:rsid w:val="00D37C28"/>
    <w:rsid w:val="00D45C5C"/>
    <w:rsid w:val="00D520B4"/>
    <w:rsid w:val="00D73D0A"/>
    <w:rsid w:val="00D94F5F"/>
    <w:rsid w:val="00D96EC7"/>
    <w:rsid w:val="00DA51BE"/>
    <w:rsid w:val="00DB6CA5"/>
    <w:rsid w:val="00E1604D"/>
    <w:rsid w:val="00E4580B"/>
    <w:rsid w:val="00E54DEF"/>
    <w:rsid w:val="00E56D11"/>
    <w:rsid w:val="00E65B76"/>
    <w:rsid w:val="00E901B9"/>
    <w:rsid w:val="00EC25B0"/>
    <w:rsid w:val="00EC795A"/>
    <w:rsid w:val="00EC7A8C"/>
    <w:rsid w:val="00ED0484"/>
    <w:rsid w:val="00F370DC"/>
    <w:rsid w:val="00F42B3A"/>
    <w:rsid w:val="00F50D36"/>
    <w:rsid w:val="00F61381"/>
    <w:rsid w:val="00F64153"/>
    <w:rsid w:val="00F74C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654BF04D-4CB9-482F-AEAC-FB22DB3A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6</cp:revision>
  <dcterms:created xsi:type="dcterms:W3CDTF">2023-01-17T08:54:00Z</dcterms:created>
  <dcterms:modified xsi:type="dcterms:W3CDTF">2024-03-30T22:52:00Z</dcterms:modified>
</cp:coreProperties>
</file>